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6807" w:lineRule="exact"/>
        <w:rPr/>
      </w:pPr>
      <w:r>
        <w:rPr>
          <w:position w:val="-336"/>
        </w:rPr>
        <w:drawing>
          <wp:inline distT="0" distB="0" distL="0" distR="0">
            <wp:extent cx="7556500" cy="10672598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headerReference w:type="default" r:id="rId1"/>
          <w:footerReference w:type="default" r:id="rId2"/>
          <w:pgSz w:w="11900" w:h="16820"/>
          <w:pgMar w:top="1" w:right="0" w:bottom="1" w:left="0" w:header="0" w:footer="0" w:gutter="0"/>
        </w:sectPr>
        <w:rPr/>
      </w:pPr>
    </w:p>
    <w:p>
      <w:pPr>
        <w:spacing w:line="16807" w:lineRule="exact"/>
        <w:rPr/>
      </w:pPr>
      <w:r>
        <w:rPr>
          <w:position w:val="-336"/>
        </w:rPr>
        <w:drawing>
          <wp:inline distT="0" distB="0" distL="0" distR="0">
            <wp:extent cx="7556500" cy="10672598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</w:sectPr>
        <w:rPr/>
      </w:pPr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left="5621"/>
        <w:spacing w:before="273" w:line="190" w:lineRule="auto"/>
        <w:rPr>
          <w:rFonts w:ascii="Times New Roman" w:hAnsi="Times New Roman" w:eastAsia="Times New Roman" w:cs="Times New Roman"/>
          <w:sz w:val="95"/>
          <w:szCs w:val="95"/>
        </w:rPr>
      </w:pPr>
      <w:r>
        <w:rPr>
          <w:rFonts w:ascii="Times New Roman" w:hAnsi="Times New Roman" w:eastAsia="Times New Roman" w:cs="Times New Roman"/>
          <w:sz w:val="95"/>
          <w:szCs w:val="95"/>
          <w:b/>
          <w:bCs/>
          <w:spacing w:val="54"/>
          <w:w w:val="121"/>
        </w:rPr>
        <w:t>DBS33</w:t>
      </w:r>
    </w:p>
    <w:p>
      <w:pPr>
        <w:spacing w:before="365" w:line="221" w:lineRule="auto"/>
        <w:jc w:val="right"/>
        <w:rPr>
          <w:rFonts w:ascii="SimHei" w:hAnsi="SimHei" w:eastAsia="SimHei" w:cs="SimHei"/>
          <w:sz w:val="52"/>
          <w:szCs w:val="52"/>
        </w:rPr>
      </w:pPr>
      <w:r>
        <w:rPr>
          <w:rFonts w:ascii="SimHei" w:hAnsi="SimHei" w:eastAsia="SimHei" w:cs="SimHei"/>
          <w:sz w:val="52"/>
          <w:szCs w:val="52"/>
          <w:spacing w:val="-12"/>
        </w:rPr>
        <w:t>浙</w:t>
      </w:r>
      <w:r>
        <w:rPr>
          <w:rFonts w:ascii="SimHei" w:hAnsi="SimHei" w:eastAsia="SimHei" w:cs="SimHei"/>
          <w:sz w:val="52"/>
          <w:szCs w:val="52"/>
          <w:spacing w:val="-12"/>
        </w:rPr>
        <w:t xml:space="preserve">    </w:t>
      </w:r>
      <w:r>
        <w:rPr>
          <w:rFonts w:ascii="SimHei" w:hAnsi="SimHei" w:eastAsia="SimHei" w:cs="SimHei"/>
          <w:sz w:val="52"/>
          <w:szCs w:val="52"/>
          <w:spacing w:val="-12"/>
        </w:rPr>
        <w:t>江</w:t>
      </w:r>
      <w:r>
        <w:rPr>
          <w:rFonts w:ascii="SimHei" w:hAnsi="SimHei" w:eastAsia="SimHei" w:cs="SimHei"/>
          <w:sz w:val="52"/>
          <w:szCs w:val="52"/>
          <w:spacing w:val="-12"/>
        </w:rPr>
        <w:t xml:space="preserve">    </w:t>
      </w:r>
      <w:r>
        <w:rPr>
          <w:rFonts w:ascii="SimHei" w:hAnsi="SimHei" w:eastAsia="SimHei" w:cs="SimHei"/>
          <w:sz w:val="52"/>
          <w:szCs w:val="52"/>
          <w:spacing w:val="-12"/>
        </w:rPr>
        <w:t>省</w:t>
      </w:r>
      <w:r>
        <w:rPr>
          <w:rFonts w:ascii="SimHei" w:hAnsi="SimHei" w:eastAsia="SimHei" w:cs="SimHei"/>
          <w:sz w:val="52"/>
          <w:szCs w:val="52"/>
          <w:spacing w:val="83"/>
        </w:rPr>
        <w:t xml:space="preserve">   </w:t>
      </w:r>
      <w:r>
        <w:rPr>
          <w:rFonts w:ascii="SimHei" w:hAnsi="SimHei" w:eastAsia="SimHei" w:cs="SimHei"/>
          <w:sz w:val="52"/>
          <w:szCs w:val="52"/>
          <w:spacing w:val="-12"/>
        </w:rPr>
        <w:t>地</w:t>
      </w:r>
      <w:r>
        <w:rPr>
          <w:rFonts w:ascii="SimHei" w:hAnsi="SimHei" w:eastAsia="SimHei" w:cs="SimHei"/>
          <w:sz w:val="52"/>
          <w:szCs w:val="52"/>
          <w:spacing w:val="83"/>
        </w:rPr>
        <w:t xml:space="preserve">   </w:t>
      </w:r>
      <w:r>
        <w:rPr>
          <w:rFonts w:ascii="SimHei" w:hAnsi="SimHei" w:eastAsia="SimHei" w:cs="SimHei"/>
          <w:sz w:val="52"/>
          <w:szCs w:val="52"/>
          <w:spacing w:val="-12"/>
        </w:rPr>
        <w:t>方</w:t>
      </w:r>
      <w:r>
        <w:rPr>
          <w:rFonts w:ascii="SimHei" w:hAnsi="SimHei" w:eastAsia="SimHei" w:cs="SimHei"/>
          <w:sz w:val="52"/>
          <w:szCs w:val="52"/>
          <w:spacing w:val="-12"/>
        </w:rPr>
        <w:t xml:space="preserve">    </w:t>
      </w:r>
      <w:r>
        <w:rPr>
          <w:rFonts w:ascii="SimHei" w:hAnsi="SimHei" w:eastAsia="SimHei" w:cs="SimHei"/>
          <w:sz w:val="52"/>
          <w:szCs w:val="52"/>
          <w:spacing w:val="-12"/>
        </w:rPr>
        <w:t>标</w:t>
      </w:r>
      <w:r>
        <w:rPr>
          <w:rFonts w:ascii="SimHei" w:hAnsi="SimHei" w:eastAsia="SimHei" w:cs="SimHei"/>
          <w:sz w:val="52"/>
          <w:szCs w:val="52"/>
          <w:spacing w:val="80"/>
        </w:rPr>
        <w:t xml:space="preserve">   </w:t>
      </w:r>
      <w:r>
        <w:rPr>
          <w:rFonts w:ascii="SimHei" w:hAnsi="SimHei" w:eastAsia="SimHei" w:cs="SimHei"/>
          <w:sz w:val="52"/>
          <w:szCs w:val="52"/>
          <w:spacing w:val="-12"/>
        </w:rPr>
        <w:t>准</w:t>
      </w:r>
    </w:p>
    <w:p>
      <w:pPr>
        <w:pStyle w:val="BodyText"/>
        <w:spacing w:line="310" w:lineRule="auto"/>
        <w:rPr/>
      </w:pPr>
      <w:r/>
    </w:p>
    <w:p>
      <w:pPr>
        <w:pStyle w:val="BodyText"/>
        <w:spacing w:line="310" w:lineRule="auto"/>
        <w:rPr/>
      </w:pPr>
      <w:r/>
    </w:p>
    <w:p>
      <w:pPr>
        <w:ind w:left="7215"/>
        <w:spacing w:before="91" w:line="237" w:lineRule="auto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1"/>
        </w:rPr>
        <w:t>DBS33/XXXX—2025</w:t>
      </w:r>
    </w:p>
    <w:p>
      <w:pPr>
        <w:pStyle w:val="BodyText"/>
        <w:spacing w:line="247" w:lineRule="auto"/>
        <w:rPr/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66674</wp:posOffset>
            </wp:positionH>
            <wp:positionV relativeFrom="paragraph">
              <wp:posOffset>78643</wp:posOffset>
            </wp:positionV>
            <wp:extent cx="6121399" cy="12700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1399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2620"/>
        <w:spacing w:before="169" w:line="221" w:lineRule="auto"/>
        <w:rPr>
          <w:rFonts w:ascii="SimHei" w:hAnsi="SimHei" w:eastAsia="SimHei" w:cs="SimHei"/>
          <w:sz w:val="52"/>
          <w:szCs w:val="52"/>
        </w:rPr>
      </w:pPr>
      <w:r>
        <w:rPr>
          <w:rFonts w:ascii="SimHei" w:hAnsi="SimHei" w:eastAsia="SimHei" w:cs="SimHei"/>
          <w:sz w:val="52"/>
          <w:szCs w:val="52"/>
          <w:spacing w:val="-3"/>
        </w:rPr>
        <w:t>食品安全地方标准</w:t>
      </w:r>
    </w:p>
    <w:p>
      <w:pPr>
        <w:ind w:left="3655"/>
        <w:spacing w:before="313" w:line="221" w:lineRule="auto"/>
        <w:rPr>
          <w:rFonts w:ascii="SimHei" w:hAnsi="SimHei" w:eastAsia="SimHei" w:cs="SimHei"/>
          <w:sz w:val="52"/>
          <w:szCs w:val="52"/>
        </w:rPr>
      </w:pPr>
      <w:r>
        <w:rPr>
          <w:rFonts w:ascii="SimHei" w:hAnsi="SimHei" w:eastAsia="SimHei" w:cs="SimHei"/>
          <w:sz w:val="52"/>
          <w:szCs w:val="52"/>
          <w:spacing w:val="-4"/>
        </w:rPr>
        <w:t>铁皮石斛</w:t>
      </w:r>
    </w:p>
    <w:p>
      <w:pPr>
        <w:ind w:left="3598"/>
        <w:spacing w:before="262" w:line="226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2"/>
        </w:rPr>
        <w:t>（征求意见稿）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7"/>
        <w:spacing w:before="91" w:line="222" w:lineRule="auto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</w:rPr>
        <w:t>202X-XX-XX</w:t>
      </w:r>
      <w:r>
        <w:rPr>
          <w:rFonts w:ascii="SimHei" w:hAnsi="SimHei" w:eastAsia="SimHei" w:cs="SimHei"/>
          <w:sz w:val="28"/>
          <w:szCs w:val="28"/>
        </w:rPr>
        <w:t xml:space="preserve"> </w:t>
      </w:r>
      <w:r>
        <w:rPr>
          <w:rFonts w:ascii="SimHei" w:hAnsi="SimHei" w:eastAsia="SimHei" w:cs="SimHei"/>
          <w:sz w:val="28"/>
          <w:szCs w:val="28"/>
        </w:rPr>
        <w:t>发布</w:t>
      </w:r>
      <w:r>
        <w:rPr>
          <w:rFonts w:ascii="SimHei" w:hAnsi="SimHei" w:eastAsia="SimHei" w:cs="SimHei"/>
          <w:sz w:val="28"/>
          <w:szCs w:val="28"/>
        </w:rPr>
        <w:t xml:space="preserve">                       </w:t>
      </w:r>
      <w:r>
        <w:rPr>
          <w:rFonts w:ascii="SimHei" w:hAnsi="SimHei" w:eastAsia="SimHei" w:cs="SimHei"/>
          <w:sz w:val="28"/>
          <w:szCs w:val="28"/>
          <w:spacing w:val="-1"/>
        </w:rPr>
        <w:t xml:space="preserve">                </w:t>
      </w:r>
      <w:r>
        <w:rPr>
          <w:rFonts w:ascii="SimHei" w:hAnsi="SimHei" w:eastAsia="SimHei" w:cs="SimHei"/>
          <w:sz w:val="28"/>
          <w:szCs w:val="28"/>
          <w:spacing w:val="-1"/>
        </w:rPr>
        <w:t>202X-XX-XX</w:t>
      </w:r>
      <w:r>
        <w:rPr>
          <w:rFonts w:ascii="SimHei" w:hAnsi="SimHei" w:eastAsia="SimHei" w:cs="SimHei"/>
          <w:sz w:val="28"/>
          <w:szCs w:val="28"/>
          <w:spacing w:val="-1"/>
        </w:rPr>
        <w:t xml:space="preserve"> </w:t>
      </w:r>
      <w:r>
        <w:rPr>
          <w:rFonts w:ascii="SimHei" w:hAnsi="SimHei" w:eastAsia="SimHei" w:cs="SimHei"/>
          <w:sz w:val="28"/>
          <w:szCs w:val="28"/>
          <w:spacing w:val="-1"/>
        </w:rPr>
        <w:t>实施</w:t>
      </w:r>
    </w:p>
    <w:p>
      <w:pPr>
        <w:pStyle w:val="BodyText"/>
        <w:spacing w:line="366" w:lineRule="auto"/>
        <w:rPr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122309</wp:posOffset>
            </wp:positionV>
            <wp:extent cx="6121399" cy="12700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1399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2284"/>
        <w:spacing w:before="114" w:line="226" w:lineRule="auto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35"/>
          <w:szCs w:val="35"/>
          <w:spacing w:val="54"/>
          <w:w w:val="126"/>
        </w:rPr>
        <w:t>浙江省卫生健康委员会</w:t>
      </w:r>
      <w:r>
        <w:rPr>
          <w:rFonts w:ascii="SimHei" w:hAnsi="SimHei" w:eastAsia="SimHei" w:cs="SimHei"/>
          <w:sz w:val="35"/>
          <w:szCs w:val="35"/>
          <w:spacing w:val="168"/>
        </w:rPr>
        <w:t xml:space="preserve"> </w:t>
      </w:r>
      <w:r>
        <w:rPr>
          <w:rFonts w:ascii="SimHei" w:hAnsi="SimHei" w:eastAsia="SimHei" w:cs="SimHei"/>
          <w:sz w:val="28"/>
          <w:szCs w:val="28"/>
          <w:spacing w:val="54"/>
          <w:w w:val="126"/>
          <w:position w:val="2"/>
        </w:rPr>
        <w:t>发布</w:t>
      </w:r>
    </w:p>
    <w:p>
      <w:pPr>
        <w:spacing w:line="226" w:lineRule="auto"/>
        <w:sectPr>
          <w:pgSz w:w="11905" w:h="16839"/>
          <w:pgMar w:top="400" w:right="737" w:bottom="400" w:left="1417" w:header="0" w:footer="0" w:gutter="0"/>
        </w:sectPr>
        <w:rPr>
          <w:rFonts w:ascii="SimHei" w:hAnsi="SimHei" w:eastAsia="SimHei" w:cs="SimHei"/>
          <w:sz w:val="28"/>
          <w:szCs w:val="28"/>
        </w:rPr>
      </w:pPr>
    </w:p>
    <w:p>
      <w:pPr>
        <w:pStyle w:val="BodyText"/>
        <w:rPr/>
      </w:pPr>
      <w:r/>
    </w:p>
    <w:p>
      <w:pPr>
        <w:sectPr>
          <w:pgSz w:w="11905" w:h="16839"/>
          <w:pgMar w:top="0" w:right="0" w:bottom="0" w:left="0" w:header="0" w:footer="0" w:gutter="0"/>
        </w:sectPr>
        <w:rPr/>
      </w:pPr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spacing w:before="57" w:line="199" w:lineRule="auto"/>
        <w:jc w:val="righ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DBS</w:t>
      </w:r>
      <w:r>
        <w:rPr>
          <w:rFonts w:ascii="Times New Roman" w:hAnsi="Times New Roman" w:eastAsia="Times New Roman" w:cs="Times New Roman"/>
          <w:sz w:val="20"/>
          <w:szCs w:val="20"/>
          <w:spacing w:val="9"/>
        </w:rPr>
        <w:t>33/ </w:t>
      </w:r>
      <w:r>
        <w:rPr>
          <w:rFonts w:ascii="Times New Roman" w:hAnsi="Times New Roman" w:eastAsia="Times New Roman" w:cs="Times New Roman"/>
          <w:sz w:val="20"/>
          <w:szCs w:val="20"/>
        </w:rPr>
        <w:t>XXXX</w:t>
      </w:r>
      <w:r>
        <w:rPr>
          <w:rFonts w:ascii="Times New Roman" w:hAnsi="Times New Roman" w:eastAsia="Times New Roman" w:cs="Times New Roman"/>
          <w:sz w:val="20"/>
          <w:szCs w:val="20"/>
          <w:spacing w:val="9"/>
        </w:rPr>
        <w:t>—2025</w:t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ind w:left="3981"/>
        <w:spacing w:before="101" w:line="228" w:lineRule="auto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-2"/>
        </w:rPr>
        <w:t>前</w:t>
      </w:r>
      <w:r>
        <w:rPr>
          <w:rFonts w:ascii="SimHei" w:hAnsi="SimHei" w:eastAsia="SimHei" w:cs="SimHei"/>
          <w:sz w:val="31"/>
          <w:szCs w:val="31"/>
          <w:spacing w:val="18"/>
        </w:rPr>
        <w:t xml:space="preserve">  </w:t>
      </w:r>
      <w:r>
        <w:rPr>
          <w:rFonts w:ascii="SimHei" w:hAnsi="SimHei" w:eastAsia="SimHei" w:cs="SimHei"/>
          <w:sz w:val="31"/>
          <w:szCs w:val="31"/>
          <w:spacing w:val="-2"/>
        </w:rPr>
        <w:t>言</w:t>
      </w:r>
    </w:p>
    <w:p>
      <w:pPr>
        <w:pStyle w:val="BodyText"/>
        <w:spacing w:line="319" w:lineRule="auto"/>
        <w:rPr/>
      </w:pPr>
      <w:r/>
    </w:p>
    <w:p>
      <w:pPr>
        <w:pStyle w:val="BodyText"/>
        <w:spacing w:line="320" w:lineRule="auto"/>
        <w:rPr/>
      </w:pPr>
      <w:r/>
    </w:p>
    <w:p>
      <w:pPr>
        <w:ind w:left="81"/>
        <w:spacing w:before="72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"/>
        </w:rPr>
        <w:t>本标准为首次发布。</w:t>
      </w:r>
    </w:p>
    <w:p>
      <w:pPr>
        <w:spacing w:line="219" w:lineRule="auto"/>
        <w:sectPr>
          <w:footerReference w:type="default" r:id="rId7"/>
          <w:pgSz w:w="11905" w:h="16839"/>
          <w:pgMar w:top="400" w:right="851" w:bottom="1125" w:left="1785" w:header="0" w:footer="893" w:gutter="0"/>
        </w:sectPr>
        <w:rPr>
          <w:rFonts w:ascii="SimSun" w:hAnsi="SimSun" w:eastAsia="SimSun" w:cs="SimSun"/>
          <w:sz w:val="22"/>
          <w:szCs w:val="22"/>
        </w:rPr>
      </w:pPr>
    </w:p>
    <w:p>
      <w:pPr>
        <w:pStyle w:val="BodyText"/>
        <w:rPr/>
      </w:pPr>
      <w:r/>
    </w:p>
    <w:p>
      <w:pPr>
        <w:sectPr>
          <w:footerReference w:type="default" r:id="rId2"/>
          <w:pgSz w:w="11905" w:h="16839"/>
          <w:pgMar w:top="0" w:right="0" w:bottom="0" w:left="0" w:header="0" w:footer="0" w:gutter="0"/>
        </w:sectPr>
        <w:rPr/>
      </w:pPr>
    </w:p>
    <w:p>
      <w:pPr>
        <w:pStyle w:val="BodyText"/>
        <w:spacing w:line="291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ind w:left="3663"/>
        <w:spacing w:before="101" w:line="226" w:lineRule="auto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8"/>
        </w:rPr>
        <w:t>食品安全地方标准</w:t>
      </w:r>
    </w:p>
    <w:p>
      <w:pPr>
        <w:ind w:left="4301"/>
        <w:spacing w:before="244" w:line="226" w:lineRule="auto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7"/>
        </w:rPr>
        <w:t>铁皮石斛</w:t>
      </w:r>
    </w:p>
    <w:p>
      <w:pPr>
        <w:pStyle w:val="BodyText"/>
        <w:spacing w:line="308" w:lineRule="auto"/>
        <w:rPr/>
      </w:pPr>
      <w:r/>
    </w:p>
    <w:p>
      <w:pPr>
        <w:ind w:left="132"/>
        <w:spacing w:before="65" w:line="231" w:lineRule="auto"/>
        <w:outlineLvl w:val="1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-3"/>
        </w:rPr>
        <w:t>1</w:t>
      </w:r>
      <w:r>
        <w:rPr>
          <w:rFonts w:ascii="SimHei" w:hAnsi="SimHei" w:eastAsia="SimHei" w:cs="SimHei"/>
          <w:sz w:val="20"/>
          <w:szCs w:val="20"/>
          <w:spacing w:val="10"/>
        </w:rPr>
        <w:t xml:space="preserve">  </w:t>
      </w:r>
      <w:r>
        <w:rPr>
          <w:rFonts w:ascii="SimHei" w:hAnsi="SimHei" w:eastAsia="SimHei" w:cs="SimHei"/>
          <w:sz w:val="20"/>
          <w:szCs w:val="20"/>
          <w:spacing w:val="-3"/>
        </w:rPr>
        <w:t>范围</w:t>
      </w:r>
    </w:p>
    <w:p>
      <w:pPr>
        <w:pStyle w:val="BodyText"/>
        <w:spacing w:line="253" w:lineRule="auto"/>
        <w:rPr/>
      </w:pPr>
      <w:r/>
    </w:p>
    <w:p>
      <w:pPr>
        <w:ind w:left="542"/>
        <w:spacing w:before="65" w:line="227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8"/>
        </w:rPr>
        <w:t>本标准适用于人工栽培的铁皮石斛茎。</w:t>
      </w:r>
    </w:p>
    <w:p>
      <w:pPr>
        <w:ind w:left="119"/>
        <w:spacing w:before="281" w:line="231" w:lineRule="auto"/>
        <w:outlineLvl w:val="1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7"/>
        </w:rPr>
        <w:t>2</w:t>
      </w:r>
      <w:r>
        <w:rPr>
          <w:rFonts w:ascii="SimHei" w:hAnsi="SimHei" w:eastAsia="SimHei" w:cs="SimHei"/>
          <w:sz w:val="20"/>
          <w:szCs w:val="20"/>
          <w:spacing w:val="7"/>
        </w:rPr>
        <w:t xml:space="preserve">  </w:t>
      </w:r>
      <w:r>
        <w:rPr>
          <w:rFonts w:ascii="SimHei" w:hAnsi="SimHei" w:eastAsia="SimHei" w:cs="SimHei"/>
          <w:sz w:val="20"/>
          <w:szCs w:val="20"/>
          <w:spacing w:val="7"/>
        </w:rPr>
        <w:t>术语和定义</w:t>
      </w:r>
    </w:p>
    <w:p>
      <w:pPr>
        <w:pStyle w:val="BodyText"/>
        <w:spacing w:line="307" w:lineRule="auto"/>
        <w:rPr/>
      </w:pPr>
      <w:r/>
    </w:p>
    <w:p>
      <w:pPr>
        <w:ind w:left="119"/>
        <w:spacing w:before="66" w:line="229" w:lineRule="auto"/>
        <w:outlineLvl w:val="2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6"/>
        </w:rPr>
        <w:t>2.1</w:t>
      </w:r>
      <w:r>
        <w:rPr>
          <w:rFonts w:ascii="SimHei" w:hAnsi="SimHei" w:eastAsia="SimHei" w:cs="SimHei"/>
          <w:sz w:val="20"/>
          <w:szCs w:val="20"/>
          <w:spacing w:val="6"/>
        </w:rPr>
        <w:t xml:space="preserve"> </w:t>
      </w:r>
      <w:r>
        <w:rPr>
          <w:rFonts w:ascii="SimHei" w:hAnsi="SimHei" w:eastAsia="SimHei" w:cs="SimHei"/>
          <w:sz w:val="20"/>
          <w:szCs w:val="20"/>
          <w:spacing w:val="6"/>
        </w:rPr>
        <w:t>铁皮石斛</w:t>
      </w:r>
    </w:p>
    <w:p>
      <w:pPr>
        <w:ind w:left="120" w:right="68" w:firstLine="444"/>
        <w:spacing w:before="166" w:line="32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15"/>
        </w:rPr>
        <w:t>以兰科植物铁皮石斛(</w:t>
      </w:r>
      <w:r>
        <w:rPr>
          <w:rFonts w:ascii="Times New Roman" w:hAnsi="Times New Roman" w:eastAsia="Times New Roman" w:cs="Times New Roman"/>
          <w:sz w:val="20"/>
          <w:szCs w:val="20"/>
          <w:i/>
          <w:iCs/>
        </w:rPr>
        <w:t>Dendrobium</w:t>
      </w:r>
      <w:r>
        <w:rPr>
          <w:rFonts w:ascii="Times New Roman" w:hAnsi="Times New Roman" w:eastAsia="Times New Roman" w:cs="Times New Roman"/>
          <w:sz w:val="20"/>
          <w:szCs w:val="20"/>
          <w:i/>
          <w:iCs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i/>
          <w:iCs/>
        </w:rPr>
        <w:t>o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i/>
          <w:iCs/>
        </w:rPr>
        <w:t>f</w:t>
      </w:r>
      <w:r>
        <w:rPr>
          <w:rFonts w:ascii="Times New Roman" w:hAnsi="Times New Roman" w:eastAsia="Times New Roman" w:cs="Times New Roman"/>
          <w:sz w:val="20"/>
          <w:szCs w:val="20"/>
          <w:i/>
          <w:iCs/>
        </w:rPr>
        <w:t>icinale</w:t>
      </w:r>
      <w:r>
        <w:rPr>
          <w:rFonts w:ascii="Times New Roman" w:hAnsi="Times New Roman" w:eastAsia="Times New Roman" w:cs="Times New Roman"/>
          <w:sz w:val="20"/>
          <w:szCs w:val="20"/>
          <w:i/>
          <w:iCs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Kimura</w:t>
      </w:r>
      <w:r>
        <w:rPr>
          <w:rFonts w:ascii="Times New Roman" w:hAnsi="Times New Roman" w:eastAsia="Times New Roman" w:cs="Times New Roman"/>
          <w:sz w:val="20"/>
          <w:szCs w:val="20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et</w:t>
      </w:r>
      <w:r>
        <w:rPr>
          <w:rFonts w:ascii="Times New Roman" w:hAnsi="Times New Roman" w:eastAsia="Times New Roman" w:cs="Times New Roman"/>
          <w:sz w:val="20"/>
          <w:szCs w:val="20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Migo</w:t>
      </w:r>
      <w:r>
        <w:rPr>
          <w:rFonts w:ascii="Times New Roman" w:hAnsi="Times New Roman" w:eastAsia="Times New Roman" w:cs="Times New Roman"/>
          <w:sz w:val="20"/>
          <w:szCs w:val="20"/>
          <w:spacing w:val="15"/>
        </w:rPr>
        <w:t>)</w:t>
      </w:r>
      <w:r>
        <w:rPr>
          <w:rFonts w:ascii="SimSun" w:hAnsi="SimSun" w:eastAsia="SimSun" w:cs="SimSun"/>
          <w:sz w:val="20"/>
          <w:szCs w:val="20"/>
          <w:spacing w:val="15"/>
        </w:rPr>
        <w:t>鲜品为原料，通过去杂、去叶、除根、淘</w:t>
      </w:r>
      <w:r>
        <w:rPr>
          <w:rFonts w:ascii="SimSun" w:hAnsi="SimSun" w:eastAsia="SimSun" w:cs="SimSun"/>
          <w:sz w:val="20"/>
          <w:szCs w:val="20"/>
          <w:spacing w:val="8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9"/>
        </w:rPr>
        <w:t>洗、干燥或不干燥等工序制成，供直接食用或作食品加工原料。</w:t>
      </w:r>
    </w:p>
    <w:p>
      <w:pPr>
        <w:ind w:left="121"/>
        <w:spacing w:before="216" w:line="231" w:lineRule="auto"/>
        <w:outlineLvl w:val="1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5"/>
        </w:rPr>
        <w:t>3</w:t>
      </w:r>
      <w:r>
        <w:rPr>
          <w:rFonts w:ascii="SimHei" w:hAnsi="SimHei" w:eastAsia="SimHei" w:cs="SimHei"/>
          <w:sz w:val="20"/>
          <w:szCs w:val="20"/>
          <w:spacing w:val="9"/>
        </w:rPr>
        <w:t xml:space="preserve">  </w:t>
      </w:r>
      <w:r>
        <w:rPr>
          <w:rFonts w:ascii="SimHei" w:hAnsi="SimHei" w:eastAsia="SimHei" w:cs="SimHei"/>
          <w:sz w:val="20"/>
          <w:szCs w:val="20"/>
          <w:spacing w:val="5"/>
        </w:rPr>
        <w:t>技术要求</w:t>
      </w:r>
    </w:p>
    <w:p>
      <w:pPr>
        <w:pStyle w:val="BodyText"/>
        <w:spacing w:line="306" w:lineRule="auto"/>
        <w:rPr/>
      </w:pPr>
      <w:r/>
    </w:p>
    <w:p>
      <w:pPr>
        <w:ind w:left="121"/>
        <w:spacing w:before="66" w:line="231" w:lineRule="auto"/>
        <w:outlineLvl w:val="2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5"/>
        </w:rPr>
        <w:t>3.1</w:t>
      </w:r>
      <w:r>
        <w:rPr>
          <w:rFonts w:ascii="SimHei" w:hAnsi="SimHei" w:eastAsia="SimHei" w:cs="SimHei"/>
          <w:sz w:val="20"/>
          <w:szCs w:val="20"/>
          <w:spacing w:val="9"/>
        </w:rPr>
        <w:t xml:space="preserve">  </w:t>
      </w:r>
      <w:r>
        <w:rPr>
          <w:rFonts w:ascii="SimHei" w:hAnsi="SimHei" w:eastAsia="SimHei" w:cs="SimHei"/>
          <w:sz w:val="20"/>
          <w:szCs w:val="20"/>
          <w:spacing w:val="5"/>
        </w:rPr>
        <w:t>原料要求</w:t>
      </w:r>
    </w:p>
    <w:p>
      <w:pPr>
        <w:ind w:left="123" w:right="68" w:hanging="2"/>
        <w:spacing w:before="199" w:line="280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9"/>
        </w:rPr>
        <w:t>3.1.1</w:t>
      </w:r>
      <w:r>
        <w:rPr>
          <w:rFonts w:ascii="SimHei" w:hAnsi="SimHei" w:eastAsia="SimHei" w:cs="SimHei"/>
          <w:sz w:val="20"/>
          <w:szCs w:val="20"/>
          <w:spacing w:val="9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9"/>
        </w:rPr>
        <w:t>铁皮石斛鲜品应具有其特有的形态特征及固有的色、香、味</w:t>
      </w:r>
      <w:r>
        <w:rPr>
          <w:rFonts w:ascii="SimSun" w:hAnsi="SimSun" w:eastAsia="SimSun" w:cs="SimSun"/>
          <w:sz w:val="20"/>
          <w:szCs w:val="20"/>
          <w:spacing w:val="8"/>
        </w:rPr>
        <w:t>，新鲜、无腐烂、无霉变、无虫蛀、无</w:t>
      </w:r>
      <w:r>
        <w:rPr>
          <w:rFonts w:ascii="SimSun" w:hAnsi="SimSun" w:eastAsia="SimSun" w:cs="SimSun"/>
          <w:sz w:val="20"/>
          <w:szCs w:val="2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8"/>
        </w:rPr>
        <w:t>异味，符合相应的食品标准和有关规定。</w:t>
      </w:r>
    </w:p>
    <w:p>
      <w:pPr>
        <w:ind w:left="121"/>
        <w:spacing w:before="113" w:line="231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5"/>
        </w:rPr>
        <w:t>3.1.2</w:t>
      </w:r>
      <w:r>
        <w:rPr>
          <w:rFonts w:ascii="SimHei" w:hAnsi="SimHei" w:eastAsia="SimHei" w:cs="SimHei"/>
          <w:sz w:val="20"/>
          <w:szCs w:val="20"/>
          <w:spacing w:val="5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5"/>
        </w:rPr>
        <w:t>生产加工用水应符合</w:t>
      </w:r>
      <w:r>
        <w:rPr>
          <w:rFonts w:ascii="SimSun" w:hAnsi="SimSun" w:eastAsia="SimSun" w:cs="SimSun"/>
          <w:sz w:val="20"/>
          <w:szCs w:val="20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GB</w:t>
      </w:r>
      <w:r>
        <w:rPr>
          <w:rFonts w:ascii="Times New Roman" w:hAnsi="Times New Roman" w:eastAsia="Times New Roman" w:cs="Times New Roman"/>
          <w:sz w:val="20"/>
          <w:szCs w:val="20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5"/>
        </w:rPr>
        <w:t>5749</w:t>
      </w:r>
      <w:r>
        <w:rPr>
          <w:rFonts w:ascii="Times New Roman" w:hAnsi="Times New Roman" w:eastAsia="Times New Roman" w:cs="Times New Roman"/>
          <w:sz w:val="20"/>
          <w:szCs w:val="20"/>
          <w:spacing w:val="27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5"/>
        </w:rPr>
        <w:t>的规定。</w:t>
      </w:r>
    </w:p>
    <w:p>
      <w:pPr>
        <w:ind w:left="121"/>
        <w:spacing w:before="129" w:line="231" w:lineRule="auto"/>
        <w:outlineLvl w:val="2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5"/>
        </w:rPr>
        <w:t>3.2</w:t>
      </w:r>
      <w:r>
        <w:rPr>
          <w:rFonts w:ascii="SimHei" w:hAnsi="SimHei" w:eastAsia="SimHei" w:cs="SimHei"/>
          <w:sz w:val="20"/>
          <w:szCs w:val="20"/>
          <w:spacing w:val="9"/>
        </w:rPr>
        <w:t xml:space="preserve">  </w:t>
      </w:r>
      <w:r>
        <w:rPr>
          <w:rFonts w:ascii="SimHei" w:hAnsi="SimHei" w:eastAsia="SimHei" w:cs="SimHei"/>
          <w:sz w:val="20"/>
          <w:szCs w:val="20"/>
          <w:spacing w:val="5"/>
        </w:rPr>
        <w:t>感官要求</w:t>
      </w:r>
    </w:p>
    <w:p>
      <w:pPr>
        <w:ind w:left="542"/>
        <w:spacing w:before="165" w:line="22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8"/>
        </w:rPr>
        <w:t>感官要求应符合表</w:t>
      </w:r>
      <w:r>
        <w:rPr>
          <w:rFonts w:ascii="Times New Roman" w:hAnsi="Times New Roman" w:eastAsia="Times New Roman" w:cs="Times New Roman"/>
          <w:sz w:val="20"/>
          <w:szCs w:val="20"/>
          <w:spacing w:val="8"/>
        </w:rPr>
        <w:t>1</w:t>
      </w:r>
      <w:r>
        <w:rPr>
          <w:rFonts w:ascii="SimSun" w:hAnsi="SimSun" w:eastAsia="SimSun" w:cs="SimSun"/>
          <w:sz w:val="20"/>
          <w:szCs w:val="20"/>
          <w:spacing w:val="8"/>
        </w:rPr>
        <w:t>的规定。</w:t>
      </w:r>
    </w:p>
    <w:p>
      <w:pPr>
        <w:ind w:left="4468"/>
        <w:spacing w:before="127" w:line="231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5"/>
        </w:rPr>
        <w:t>表1</w:t>
      </w:r>
      <w:r>
        <w:rPr>
          <w:rFonts w:ascii="SimHei" w:hAnsi="SimHei" w:eastAsia="SimHei" w:cs="SimHei"/>
          <w:sz w:val="20"/>
          <w:szCs w:val="20"/>
          <w:spacing w:val="10"/>
        </w:rPr>
        <w:t xml:space="preserve">  </w:t>
      </w:r>
      <w:r>
        <w:rPr>
          <w:rFonts w:ascii="SimHei" w:hAnsi="SimHei" w:eastAsia="SimHei" w:cs="SimHei"/>
          <w:sz w:val="20"/>
          <w:szCs w:val="20"/>
          <w:spacing w:val="5"/>
        </w:rPr>
        <w:t>感官要求</w:t>
      </w:r>
    </w:p>
    <w:p>
      <w:pPr>
        <w:spacing w:line="88" w:lineRule="exact"/>
        <w:rPr/>
      </w:pPr>
      <w:r/>
    </w:p>
    <w:tbl>
      <w:tblPr>
        <w:tblStyle w:val="TableNormal"/>
        <w:tblW w:w="9810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75"/>
        <w:gridCol w:w="5597"/>
        <w:gridCol w:w="3038"/>
      </w:tblGrid>
      <w:tr>
        <w:trPr>
          <w:trHeight w:val="348" w:hRule="atLeast"/>
        </w:trPr>
        <w:tc>
          <w:tcPr>
            <w:tcW w:w="1175" w:type="dxa"/>
            <w:vAlign w:val="top"/>
          </w:tcPr>
          <w:p>
            <w:pPr>
              <w:pStyle w:val="TableText"/>
              <w:ind w:left="415"/>
              <w:spacing w:before="116" w:line="220" w:lineRule="auto"/>
              <w:rPr/>
            </w:pPr>
            <w:r>
              <w:rPr>
                <w:spacing w:val="-5"/>
              </w:rPr>
              <w:t>项目</w:t>
            </w:r>
          </w:p>
        </w:tc>
        <w:tc>
          <w:tcPr>
            <w:tcW w:w="5597" w:type="dxa"/>
            <w:vAlign w:val="top"/>
          </w:tcPr>
          <w:p>
            <w:pPr>
              <w:pStyle w:val="TableText"/>
              <w:ind w:left="2622"/>
              <w:spacing w:before="116" w:line="221" w:lineRule="auto"/>
              <w:rPr/>
            </w:pPr>
            <w:r>
              <w:rPr>
                <w:spacing w:val="-4"/>
              </w:rPr>
              <w:t>要求</w:t>
            </w:r>
          </w:p>
        </w:tc>
        <w:tc>
          <w:tcPr>
            <w:tcW w:w="3038" w:type="dxa"/>
            <w:vAlign w:val="top"/>
          </w:tcPr>
          <w:p>
            <w:pPr>
              <w:pStyle w:val="TableText"/>
              <w:ind w:left="1162"/>
              <w:spacing w:before="116" w:line="219" w:lineRule="auto"/>
              <w:rPr/>
            </w:pPr>
            <w:r>
              <w:rPr>
                <w:spacing w:val="-2"/>
              </w:rPr>
              <w:t>检验方法</w:t>
            </w:r>
          </w:p>
        </w:tc>
      </w:tr>
      <w:tr>
        <w:trPr>
          <w:trHeight w:val="344" w:hRule="atLeast"/>
        </w:trPr>
        <w:tc>
          <w:tcPr>
            <w:tcW w:w="1175" w:type="dxa"/>
            <w:vAlign w:val="top"/>
          </w:tcPr>
          <w:p>
            <w:pPr>
              <w:pStyle w:val="TableText"/>
              <w:ind w:left="414"/>
              <w:spacing w:before="113" w:line="220" w:lineRule="auto"/>
              <w:rPr/>
            </w:pPr>
            <w:r>
              <w:rPr>
                <w:spacing w:val="-5"/>
              </w:rPr>
              <w:t>色泽</w:t>
            </w:r>
          </w:p>
        </w:tc>
        <w:tc>
          <w:tcPr>
            <w:tcW w:w="5597" w:type="dxa"/>
            <w:vAlign w:val="top"/>
          </w:tcPr>
          <w:p>
            <w:pPr>
              <w:pStyle w:val="TableText"/>
              <w:ind w:left="110"/>
              <w:spacing w:before="114" w:line="219" w:lineRule="auto"/>
              <w:rPr/>
            </w:pPr>
            <w:r>
              <w:rPr>
                <w:spacing w:val="-1"/>
              </w:rPr>
              <w:t>表面灰绿色，黄绿色、紫红色或略带金黄色</w:t>
            </w:r>
          </w:p>
        </w:tc>
        <w:tc>
          <w:tcPr>
            <w:tcW w:w="303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106" w:firstLine="1"/>
              <w:spacing w:before="143" w:line="305" w:lineRule="auto"/>
              <w:jc w:val="both"/>
              <w:rPr/>
            </w:pPr>
            <w:r>
              <w:rPr>
                <w:spacing w:val="-5"/>
              </w:rPr>
              <w:t>取适量样品置于洁净白色瓷盘中，在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自然光线下采用鼻嗅、目测、口尝的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方法进行检验</w:t>
            </w:r>
          </w:p>
        </w:tc>
      </w:tr>
      <w:tr>
        <w:trPr>
          <w:trHeight w:val="344" w:hRule="atLeast"/>
        </w:trPr>
        <w:tc>
          <w:tcPr>
            <w:tcW w:w="1175" w:type="dxa"/>
            <w:vAlign w:val="top"/>
          </w:tcPr>
          <w:p>
            <w:pPr>
              <w:pStyle w:val="TableText"/>
              <w:ind w:left="142"/>
              <w:spacing w:before="115" w:line="220" w:lineRule="auto"/>
              <w:rPr/>
            </w:pPr>
            <w:r>
              <w:rPr>
                <w:spacing w:val="-2"/>
              </w:rPr>
              <w:t>气味、滋味</w:t>
            </w:r>
          </w:p>
        </w:tc>
        <w:tc>
          <w:tcPr>
            <w:tcW w:w="5597" w:type="dxa"/>
            <w:vAlign w:val="top"/>
          </w:tcPr>
          <w:p>
            <w:pPr>
              <w:pStyle w:val="TableText"/>
              <w:ind w:left="112"/>
              <w:spacing w:before="114" w:line="219" w:lineRule="auto"/>
              <w:rPr/>
            </w:pPr>
            <w:r>
              <w:rPr>
                <w:spacing w:val="-1"/>
              </w:rPr>
              <w:t>气微，味淡，咀嚼之有黏性</w:t>
            </w:r>
          </w:p>
        </w:tc>
        <w:tc>
          <w:tcPr>
            <w:tcW w:w="303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175" w:type="dxa"/>
            <w:vAlign w:val="top"/>
          </w:tcPr>
          <w:p>
            <w:pPr>
              <w:pStyle w:val="TableText"/>
              <w:ind w:left="412"/>
              <w:spacing w:before="116" w:line="219" w:lineRule="auto"/>
              <w:rPr/>
            </w:pPr>
            <w:r>
              <w:rPr>
                <w:spacing w:val="-4"/>
              </w:rPr>
              <w:t>状态</w:t>
            </w:r>
          </w:p>
        </w:tc>
        <w:tc>
          <w:tcPr>
            <w:tcW w:w="5597" w:type="dxa"/>
            <w:vAlign w:val="top"/>
          </w:tcPr>
          <w:p>
            <w:pPr>
              <w:pStyle w:val="TableText"/>
              <w:ind w:left="112"/>
              <w:spacing w:before="116" w:line="219" w:lineRule="auto"/>
              <w:rPr/>
            </w:pPr>
            <w:r>
              <w:rPr>
                <w:spacing w:val="-1"/>
              </w:rPr>
              <w:t>有纵向条纹，有时可见残留的灰色叶鞘，无正常视力可见的外来异物</w:t>
            </w:r>
          </w:p>
        </w:tc>
        <w:tc>
          <w:tcPr>
            <w:tcW w:w="303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121"/>
        <w:spacing w:before="130" w:line="231" w:lineRule="auto"/>
        <w:outlineLvl w:val="2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6"/>
        </w:rPr>
        <w:t>3.3</w:t>
      </w:r>
      <w:r>
        <w:rPr>
          <w:rFonts w:ascii="SimHei" w:hAnsi="SimHei" w:eastAsia="SimHei" w:cs="SimHei"/>
          <w:sz w:val="20"/>
          <w:szCs w:val="20"/>
          <w:spacing w:val="6"/>
        </w:rPr>
        <w:t xml:space="preserve"> </w:t>
      </w:r>
      <w:r>
        <w:rPr>
          <w:rFonts w:ascii="SimHei" w:hAnsi="SimHei" w:eastAsia="SimHei" w:cs="SimHei"/>
          <w:sz w:val="20"/>
          <w:szCs w:val="20"/>
          <w:spacing w:val="6"/>
        </w:rPr>
        <w:t>理化指标</w:t>
      </w:r>
    </w:p>
    <w:p>
      <w:pPr>
        <w:ind w:left="543"/>
        <w:spacing w:before="164" w:line="22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5"/>
        </w:rPr>
        <w:t>理化指标应符合表</w:t>
      </w:r>
      <w:r>
        <w:rPr>
          <w:rFonts w:ascii="SimSun" w:hAnsi="SimSun" w:eastAsia="SimSun" w:cs="SimSun"/>
          <w:sz w:val="20"/>
          <w:szCs w:val="20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5"/>
        </w:rPr>
        <w:t>2</w:t>
      </w:r>
      <w:r>
        <w:rPr>
          <w:rFonts w:ascii="Times New Roman" w:hAnsi="Times New Roman" w:eastAsia="Times New Roman" w:cs="Times New Roman"/>
          <w:sz w:val="20"/>
          <w:szCs w:val="20"/>
          <w:spacing w:val="3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5"/>
        </w:rPr>
        <w:t>的规定。</w:t>
      </w:r>
    </w:p>
    <w:p>
      <w:pPr>
        <w:ind w:left="4468"/>
        <w:spacing w:before="128" w:line="231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6"/>
        </w:rPr>
        <w:t>表2</w:t>
      </w:r>
      <w:r>
        <w:rPr>
          <w:rFonts w:ascii="SimHei" w:hAnsi="SimHei" w:eastAsia="SimHei" w:cs="SimHei"/>
          <w:sz w:val="20"/>
          <w:szCs w:val="20"/>
          <w:spacing w:val="6"/>
        </w:rPr>
        <w:t xml:space="preserve">  </w:t>
      </w:r>
      <w:r>
        <w:rPr>
          <w:rFonts w:ascii="SimHei" w:hAnsi="SimHei" w:eastAsia="SimHei" w:cs="SimHei"/>
          <w:sz w:val="20"/>
          <w:szCs w:val="20"/>
          <w:spacing w:val="6"/>
        </w:rPr>
        <w:t>理化指标</w:t>
      </w:r>
    </w:p>
    <w:p>
      <w:pPr>
        <w:spacing w:line="171" w:lineRule="exact"/>
        <w:rPr/>
      </w:pPr>
      <w:r/>
    </w:p>
    <w:tbl>
      <w:tblPr>
        <w:tblStyle w:val="TableNormal"/>
        <w:tblW w:w="9701" w:type="dxa"/>
        <w:tblInd w:w="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890"/>
        <w:gridCol w:w="1363"/>
        <w:gridCol w:w="1189"/>
        <w:gridCol w:w="4259"/>
      </w:tblGrid>
      <w:tr>
        <w:trPr>
          <w:trHeight w:val="348" w:hRule="atLeast"/>
        </w:trPr>
        <w:tc>
          <w:tcPr>
            <w:tcW w:w="4253" w:type="dxa"/>
            <w:vAlign w:val="top"/>
            <w:gridSpan w:val="2"/>
          </w:tcPr>
          <w:p>
            <w:pPr>
              <w:pStyle w:val="TableText"/>
              <w:ind w:left="1910"/>
              <w:spacing w:before="116" w:line="220" w:lineRule="auto"/>
              <w:rPr/>
            </w:pPr>
            <w:r>
              <w:rPr>
                <w:spacing w:val="-5"/>
              </w:rPr>
              <w:t>项</w:t>
            </w:r>
            <w:r>
              <w:rPr>
                <w:spacing w:val="40"/>
              </w:rPr>
              <w:t xml:space="preserve"> </w:t>
            </w:r>
            <w:r>
              <w:rPr>
                <w:spacing w:val="-5"/>
              </w:rPr>
              <w:t>目</w:t>
            </w:r>
          </w:p>
        </w:tc>
        <w:tc>
          <w:tcPr>
            <w:tcW w:w="1189" w:type="dxa"/>
            <w:vAlign w:val="top"/>
          </w:tcPr>
          <w:p>
            <w:pPr>
              <w:pStyle w:val="TableText"/>
              <w:ind w:left="421"/>
              <w:spacing w:before="116" w:line="220" w:lineRule="auto"/>
              <w:rPr/>
            </w:pPr>
            <w:r>
              <w:rPr>
                <w:spacing w:val="-5"/>
              </w:rPr>
              <w:t>指标</w:t>
            </w:r>
          </w:p>
        </w:tc>
        <w:tc>
          <w:tcPr>
            <w:tcW w:w="4259" w:type="dxa"/>
            <w:vAlign w:val="top"/>
          </w:tcPr>
          <w:p>
            <w:pPr>
              <w:pStyle w:val="TableText"/>
              <w:ind w:left="1774"/>
              <w:spacing w:before="117" w:line="219" w:lineRule="auto"/>
              <w:rPr/>
            </w:pPr>
            <w:r>
              <w:rPr>
                <w:spacing w:val="-2"/>
              </w:rPr>
              <w:t>检验方法</w:t>
            </w:r>
          </w:p>
        </w:tc>
      </w:tr>
      <w:tr>
        <w:trPr>
          <w:trHeight w:val="643" w:hRule="atLeast"/>
        </w:trPr>
        <w:tc>
          <w:tcPr>
            <w:tcW w:w="2890" w:type="dxa"/>
            <w:vAlign w:val="top"/>
            <w:tcBorders>
              <w:right w:val="nil"/>
            </w:tcBorders>
          </w:tcPr>
          <w:p>
            <w:pPr>
              <w:pStyle w:val="TableText"/>
              <w:ind w:left="116"/>
              <w:spacing w:before="104" w:line="210" w:lineRule="auto"/>
              <w:rPr/>
            </w:pPr>
            <w:r>
              <w:rPr>
                <w:spacing w:val="-1"/>
              </w:rPr>
              <w:t>水分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/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g/100g</w:t>
            </w:r>
            <w:r>
              <w:rPr>
                <w:spacing w:val="-1"/>
              </w:rPr>
              <w:t>）</w:t>
            </w:r>
          </w:p>
          <w:p>
            <w:pPr>
              <w:pStyle w:val="TableText"/>
              <w:ind w:left="473"/>
              <w:spacing w:before="114" w:line="215" w:lineRule="auto"/>
              <w:rPr/>
            </w:pPr>
            <w:r>
              <w:rPr>
                <w:spacing w:val="-1"/>
              </w:rPr>
              <w:t>铁皮石斛茎干品</w:t>
            </w:r>
          </w:p>
        </w:tc>
        <w:tc>
          <w:tcPr>
            <w:tcW w:w="1363" w:type="dxa"/>
            <w:vAlign w:val="top"/>
            <w:tcBorders>
              <w:left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158"/>
              <w:spacing w:before="52" w:line="173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≤</w:t>
            </w:r>
          </w:p>
        </w:tc>
        <w:tc>
          <w:tcPr>
            <w:tcW w:w="118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454"/>
              <w:spacing w:before="5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6"/>
              </w:rPr>
              <w:t>12.0</w:t>
            </w:r>
          </w:p>
        </w:tc>
        <w:tc>
          <w:tcPr>
            <w:tcW w:w="4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1917"/>
              <w:spacing w:before="5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GB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5009.3</w:t>
            </w:r>
          </w:p>
        </w:tc>
      </w:tr>
      <w:tr>
        <w:trPr>
          <w:trHeight w:val="344" w:hRule="atLeast"/>
        </w:trPr>
        <w:tc>
          <w:tcPr>
            <w:tcW w:w="4253" w:type="dxa"/>
            <w:vAlign w:val="top"/>
            <w:gridSpan w:val="2"/>
          </w:tcPr>
          <w:p>
            <w:pPr>
              <w:pStyle w:val="TableText"/>
              <w:ind w:left="123"/>
              <w:spacing w:before="116" w:line="21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pacing w:val="-1"/>
              </w:rPr>
              <w:t>多糖（以无水葡萄糖计）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/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g/100g</w:t>
            </w:r>
            <w:r>
              <w:rPr>
                <w:spacing w:val="-1"/>
              </w:rPr>
              <w:t>）</w:t>
            </w:r>
            <w:r>
              <w:rPr>
                <w:spacing w:val="5"/>
              </w:rPr>
              <w:t xml:space="preserve">          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≥</w:t>
            </w:r>
          </w:p>
        </w:tc>
        <w:tc>
          <w:tcPr>
            <w:tcW w:w="1189" w:type="dxa"/>
            <w:vAlign w:val="top"/>
          </w:tcPr>
          <w:p>
            <w:pPr>
              <w:ind w:left="437"/>
              <w:spacing w:before="145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25.0</w:t>
            </w:r>
          </w:p>
        </w:tc>
        <w:tc>
          <w:tcPr>
            <w:tcW w:w="4259" w:type="dxa"/>
            <w:vAlign w:val="top"/>
          </w:tcPr>
          <w:p>
            <w:pPr>
              <w:pStyle w:val="TableText"/>
              <w:ind w:left="788"/>
              <w:spacing w:before="116" w:line="219" w:lineRule="auto"/>
              <w:rPr/>
            </w:pPr>
            <w:r>
              <w:rPr>
                <w:spacing w:val="-1"/>
              </w:rPr>
              <w:t>《中华人民共和国药典》（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2020</w:t>
            </w:r>
            <w:r>
              <w:rPr>
                <w:spacing w:val="-1"/>
              </w:rPr>
              <w:t>年版）</w:t>
            </w:r>
          </w:p>
        </w:tc>
      </w:tr>
      <w:tr>
        <w:trPr>
          <w:trHeight w:val="349" w:hRule="atLeast"/>
        </w:trPr>
        <w:tc>
          <w:tcPr>
            <w:tcW w:w="9701" w:type="dxa"/>
            <w:vAlign w:val="top"/>
            <w:gridSpan w:val="4"/>
          </w:tcPr>
          <w:p>
            <w:pPr>
              <w:pStyle w:val="TableText"/>
              <w:ind w:left="111"/>
              <w:spacing w:before="117" w:line="219" w:lineRule="auto"/>
              <w:rPr/>
            </w:pPr>
            <w:r>
              <w:rPr>
                <w:rFonts w:ascii="Times New Roman" w:hAnsi="Times New Roman" w:eastAsia="Times New Roman" w:cs="Times New Roman"/>
                <w:sz w:val="11"/>
                <w:szCs w:val="11"/>
                <w:position w:val="6"/>
              </w:rPr>
              <w:t>a   </w:t>
            </w:r>
            <w:r>
              <w:rPr/>
              <w:t>理化指标基于干品确定，鲜品根据干品按水分进行折算。</w:t>
            </w:r>
          </w:p>
        </w:tc>
      </w:tr>
    </w:tbl>
    <w:p>
      <w:pPr>
        <w:ind w:left="121"/>
        <w:spacing w:before="130" w:line="230" w:lineRule="auto"/>
        <w:outlineLvl w:val="2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5"/>
        </w:rPr>
        <w:t>3.4</w:t>
      </w:r>
      <w:r>
        <w:rPr>
          <w:rFonts w:ascii="SimHei" w:hAnsi="SimHei" w:eastAsia="SimHei" w:cs="SimHei"/>
          <w:sz w:val="20"/>
          <w:szCs w:val="20"/>
          <w:spacing w:val="19"/>
        </w:rPr>
        <w:t xml:space="preserve"> </w:t>
      </w:r>
      <w:r>
        <w:rPr>
          <w:rFonts w:ascii="SimHei" w:hAnsi="SimHei" w:eastAsia="SimHei" w:cs="SimHei"/>
          <w:sz w:val="20"/>
          <w:szCs w:val="20"/>
          <w:spacing w:val="5"/>
        </w:rPr>
        <w:t>污染物限量</w:t>
      </w:r>
    </w:p>
    <w:p>
      <w:pPr>
        <w:spacing w:line="230" w:lineRule="auto"/>
        <w:sectPr>
          <w:headerReference w:type="default" r:id="rId8"/>
          <w:footerReference w:type="default" r:id="rId9"/>
          <w:pgSz w:w="11905" w:h="16839"/>
          <w:pgMar w:top="1762" w:right="784" w:bottom="1067" w:left="1305" w:header="1440" w:footer="835" w:gutter="0"/>
        </w:sectPr>
        <w:rPr>
          <w:rFonts w:ascii="SimHei" w:hAnsi="SimHei" w:eastAsia="SimHei" w:cs="SimHei"/>
          <w:sz w:val="20"/>
          <w:szCs w:val="20"/>
        </w:rPr>
      </w:pPr>
    </w:p>
    <w:p>
      <w:pPr>
        <w:ind w:left="427"/>
        <w:spacing w:before="72" w:line="22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5"/>
        </w:rPr>
        <w:t>污染物限量应符合表</w:t>
      </w:r>
      <w:r>
        <w:rPr>
          <w:rFonts w:ascii="SimSun" w:hAnsi="SimSun" w:eastAsia="SimSun" w:cs="SimSun"/>
          <w:sz w:val="20"/>
          <w:szCs w:val="20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5"/>
        </w:rPr>
        <w:t>3</w:t>
      </w:r>
      <w:r>
        <w:rPr>
          <w:rFonts w:ascii="Times New Roman" w:hAnsi="Times New Roman" w:eastAsia="Times New Roman" w:cs="Times New Roman"/>
          <w:sz w:val="20"/>
          <w:szCs w:val="20"/>
          <w:spacing w:val="3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5"/>
        </w:rPr>
        <w:t>的规定。</w:t>
      </w:r>
    </w:p>
    <w:p>
      <w:pPr>
        <w:ind w:left="4273"/>
        <w:spacing w:before="108" w:line="266" w:lineRule="exact"/>
        <w:rPr>
          <w:rFonts w:ascii="SimHei" w:hAnsi="SimHei" w:eastAsia="SimHei" w:cs="SimHei"/>
          <w:sz w:val="10"/>
          <w:szCs w:val="10"/>
        </w:rPr>
      </w:pPr>
      <w:r>
        <w:rPr>
          <w:rFonts w:ascii="SimHei" w:hAnsi="SimHei" w:eastAsia="SimHei" w:cs="SimHei"/>
          <w:sz w:val="20"/>
          <w:szCs w:val="20"/>
          <w:spacing w:val="5"/>
          <w:position w:val="1"/>
        </w:rPr>
        <w:t>表3</w:t>
      </w:r>
      <w:r>
        <w:rPr>
          <w:rFonts w:ascii="SimHei" w:hAnsi="SimHei" w:eastAsia="SimHei" w:cs="SimHei"/>
          <w:sz w:val="20"/>
          <w:szCs w:val="20"/>
          <w:spacing w:val="21"/>
          <w:position w:val="1"/>
        </w:rPr>
        <w:t xml:space="preserve"> </w:t>
      </w:r>
      <w:r>
        <w:rPr>
          <w:rFonts w:ascii="SimHei" w:hAnsi="SimHei" w:eastAsia="SimHei" w:cs="SimHei"/>
          <w:sz w:val="20"/>
          <w:szCs w:val="20"/>
          <w:spacing w:val="5"/>
          <w:position w:val="1"/>
        </w:rPr>
        <w:t>污染物限量</w:t>
      </w:r>
      <w:r>
        <w:rPr>
          <w:rFonts w:ascii="SimHei" w:hAnsi="SimHei" w:eastAsia="SimHei" w:cs="SimHei"/>
          <w:sz w:val="10"/>
          <w:szCs w:val="10"/>
          <w:spacing w:val="5"/>
          <w:position w:val="11"/>
        </w:rPr>
        <w:t>a</w:t>
      </w:r>
    </w:p>
    <w:p>
      <w:pPr>
        <w:spacing w:line="89" w:lineRule="exact"/>
        <w:rPr/>
      </w:pPr>
      <w:r/>
    </w:p>
    <w:tbl>
      <w:tblPr>
        <w:tblStyle w:val="TableNormal"/>
        <w:tblW w:w="9573" w:type="dxa"/>
        <w:tblInd w:w="2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4793"/>
        <w:gridCol w:w="1568"/>
        <w:gridCol w:w="3212"/>
      </w:tblGrid>
      <w:tr>
        <w:trPr>
          <w:trHeight w:val="349" w:hRule="atLeast"/>
        </w:trPr>
        <w:tc>
          <w:tcPr>
            <w:tcW w:w="4793" w:type="dxa"/>
            <w:vAlign w:val="top"/>
          </w:tcPr>
          <w:p>
            <w:pPr>
              <w:pStyle w:val="TableText"/>
              <w:ind w:left="2134"/>
              <w:spacing w:before="117" w:line="220" w:lineRule="auto"/>
              <w:rPr/>
            </w:pPr>
            <w:r>
              <w:rPr>
                <w:spacing w:val="-5"/>
              </w:rPr>
              <w:t>项</w:t>
            </w:r>
            <w:r>
              <w:rPr>
                <w:spacing w:val="20"/>
              </w:rPr>
              <w:t xml:space="preserve">  </w:t>
            </w:r>
            <w:r>
              <w:rPr>
                <w:spacing w:val="-5"/>
              </w:rPr>
              <w:t>目</w:t>
            </w:r>
          </w:p>
        </w:tc>
        <w:tc>
          <w:tcPr>
            <w:tcW w:w="1568" w:type="dxa"/>
            <w:vAlign w:val="top"/>
          </w:tcPr>
          <w:p>
            <w:pPr>
              <w:pStyle w:val="TableText"/>
              <w:ind w:left="620"/>
              <w:spacing w:before="117" w:line="220" w:lineRule="auto"/>
              <w:rPr/>
            </w:pPr>
            <w:r>
              <w:rPr>
                <w:spacing w:val="-10"/>
              </w:rPr>
              <w:t>限量</w:t>
            </w:r>
          </w:p>
        </w:tc>
        <w:tc>
          <w:tcPr>
            <w:tcW w:w="3212" w:type="dxa"/>
            <w:vAlign w:val="top"/>
          </w:tcPr>
          <w:p>
            <w:pPr>
              <w:pStyle w:val="TableText"/>
              <w:ind w:left="1250"/>
              <w:spacing w:before="118" w:line="219" w:lineRule="auto"/>
              <w:rPr/>
            </w:pPr>
            <w:r>
              <w:rPr>
                <w:spacing w:val="-2"/>
              </w:rPr>
              <w:t>检验方法</w:t>
            </w:r>
          </w:p>
        </w:tc>
      </w:tr>
      <w:tr>
        <w:trPr>
          <w:trHeight w:val="344" w:hRule="atLeast"/>
        </w:trPr>
        <w:tc>
          <w:tcPr>
            <w:tcW w:w="4793" w:type="dxa"/>
            <w:vAlign w:val="top"/>
          </w:tcPr>
          <w:p>
            <w:pPr>
              <w:pStyle w:val="TableText"/>
              <w:ind w:left="115"/>
              <w:spacing w:before="113" w:line="21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pacing w:val="-1"/>
              </w:rPr>
              <w:t>铅（以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Pb</w:t>
            </w:r>
            <w:r>
              <w:rPr>
                <w:spacing w:val="-1"/>
              </w:rPr>
              <w:t>计</w:t>
            </w:r>
            <w:r>
              <w:rPr/>
              <w:t>），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</w:p>
        </w:tc>
        <w:tc>
          <w:tcPr>
            <w:tcW w:w="1568" w:type="dxa"/>
            <w:vAlign w:val="top"/>
          </w:tcPr>
          <w:p>
            <w:pPr>
              <w:ind w:left="683"/>
              <w:spacing w:before="151" w:line="181" w:lineRule="auto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ascii="Calibri" w:hAnsi="Calibri" w:eastAsia="Calibri" w:cs="Calibri"/>
                <w:sz w:val="18"/>
                <w:szCs w:val="18"/>
                <w:spacing w:val="-6"/>
              </w:rPr>
              <w:t>1.0</w:t>
            </w:r>
          </w:p>
        </w:tc>
        <w:tc>
          <w:tcPr>
            <w:tcW w:w="3212" w:type="dxa"/>
            <w:vAlign w:val="top"/>
          </w:tcPr>
          <w:p>
            <w:pPr>
              <w:pStyle w:val="TableText"/>
              <w:ind w:left="594"/>
              <w:spacing w:before="114" w:line="223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2"/>
              </w:rPr>
              <w:t>GB 5009.</w:t>
            </w:r>
            <w:r>
              <w:rPr>
                <w:rFonts w:ascii="Times New Roman" w:hAnsi="Times New Roman" w:eastAsia="Times New Roman" w:cs="Times New Roman"/>
                <w:spacing w:val="-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12</w:t>
            </w:r>
            <w:r>
              <w:rPr>
                <w:spacing w:val="-2"/>
              </w:rPr>
              <w:t>或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GB</w:t>
            </w:r>
            <w:r>
              <w:rPr>
                <w:rFonts w:ascii="Times New Roman" w:hAnsi="Times New Roman" w:eastAsia="Times New Roman" w:cs="Times New Roman"/>
                <w:spacing w:val="1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5009.268</w:t>
            </w:r>
          </w:p>
        </w:tc>
      </w:tr>
      <w:tr>
        <w:trPr>
          <w:trHeight w:val="344" w:hRule="atLeast"/>
        </w:trPr>
        <w:tc>
          <w:tcPr>
            <w:tcW w:w="4793" w:type="dxa"/>
            <w:vAlign w:val="top"/>
          </w:tcPr>
          <w:p>
            <w:pPr>
              <w:pStyle w:val="TableText"/>
              <w:ind w:left="120"/>
              <w:spacing w:before="113" w:line="212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pacing w:val="-2"/>
              </w:rPr>
              <w:t>总砷（以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As</w:t>
            </w:r>
            <w:r>
              <w:rPr>
                <w:spacing w:val="-2"/>
              </w:rPr>
              <w:t>计</w:t>
            </w:r>
            <w:r>
              <w:rPr>
                <w:spacing w:val="4"/>
              </w:rPr>
              <w:t>），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mg/kg</w:t>
            </w:r>
          </w:p>
        </w:tc>
        <w:tc>
          <w:tcPr>
            <w:tcW w:w="1568" w:type="dxa"/>
            <w:vAlign w:val="top"/>
          </w:tcPr>
          <w:p>
            <w:pPr>
              <w:ind w:left="674"/>
              <w:spacing w:before="150" w:line="181" w:lineRule="auto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ascii="Calibri" w:hAnsi="Calibri" w:eastAsia="Calibri" w:cs="Calibri"/>
                <w:sz w:val="18"/>
                <w:szCs w:val="18"/>
                <w:spacing w:val="-3"/>
              </w:rPr>
              <w:t>0.5</w:t>
            </w:r>
          </w:p>
        </w:tc>
        <w:tc>
          <w:tcPr>
            <w:tcW w:w="3212" w:type="dxa"/>
            <w:vAlign w:val="top"/>
          </w:tcPr>
          <w:p>
            <w:pPr>
              <w:pStyle w:val="TableText"/>
              <w:ind w:left="594"/>
              <w:spacing w:before="113" w:line="223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2"/>
              </w:rPr>
              <w:t>GB 5009.</w:t>
            </w:r>
            <w:r>
              <w:rPr>
                <w:rFonts w:ascii="Times New Roman" w:hAnsi="Times New Roman" w:eastAsia="Times New Roman" w:cs="Times New Roman"/>
                <w:spacing w:val="-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11</w:t>
            </w:r>
            <w:r>
              <w:rPr>
                <w:spacing w:val="-2"/>
              </w:rPr>
              <w:t>或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GB</w:t>
            </w:r>
            <w:r>
              <w:rPr>
                <w:rFonts w:ascii="Times New Roman" w:hAnsi="Times New Roman" w:eastAsia="Times New Roman" w:cs="Times New Roman"/>
                <w:spacing w:val="1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5009.268</w:t>
            </w:r>
          </w:p>
        </w:tc>
      </w:tr>
      <w:tr>
        <w:trPr>
          <w:trHeight w:val="344" w:hRule="atLeast"/>
        </w:trPr>
        <w:tc>
          <w:tcPr>
            <w:tcW w:w="4793" w:type="dxa"/>
            <w:vAlign w:val="top"/>
          </w:tcPr>
          <w:p>
            <w:pPr>
              <w:pStyle w:val="TableText"/>
              <w:ind w:left="120"/>
              <w:spacing w:before="114" w:line="212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pacing w:val="-2"/>
              </w:rPr>
              <w:t>总汞（以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Hg</w:t>
            </w:r>
            <w:r>
              <w:rPr>
                <w:spacing w:val="-2"/>
              </w:rPr>
              <w:t>计</w:t>
            </w:r>
            <w:r>
              <w:rPr>
                <w:spacing w:val="4"/>
              </w:rPr>
              <w:t>），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mg/kg</w:t>
            </w:r>
          </w:p>
        </w:tc>
        <w:tc>
          <w:tcPr>
            <w:tcW w:w="1568" w:type="dxa"/>
            <w:vAlign w:val="top"/>
          </w:tcPr>
          <w:p>
            <w:pPr>
              <w:ind w:left="628"/>
              <w:spacing w:before="151" w:line="181" w:lineRule="auto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ascii="Calibri" w:hAnsi="Calibri" w:eastAsia="Calibri" w:cs="Calibri"/>
                <w:sz w:val="18"/>
                <w:szCs w:val="18"/>
                <w:spacing w:val="-2"/>
              </w:rPr>
              <w:t>0.05</w:t>
            </w:r>
          </w:p>
        </w:tc>
        <w:tc>
          <w:tcPr>
            <w:tcW w:w="3212" w:type="dxa"/>
            <w:vAlign w:val="top"/>
          </w:tcPr>
          <w:p>
            <w:pPr>
              <w:pStyle w:val="TableText"/>
              <w:ind w:left="594"/>
              <w:spacing w:before="114" w:line="223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2"/>
              </w:rPr>
              <w:t>GB 5009.</w:t>
            </w:r>
            <w:r>
              <w:rPr>
                <w:rFonts w:ascii="Times New Roman" w:hAnsi="Times New Roman" w:eastAsia="Times New Roman" w:cs="Times New Roman"/>
                <w:spacing w:val="-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17</w:t>
            </w:r>
            <w:r>
              <w:rPr>
                <w:spacing w:val="-2"/>
              </w:rPr>
              <w:t>或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GB</w:t>
            </w:r>
            <w:r>
              <w:rPr>
                <w:rFonts w:ascii="Times New Roman" w:hAnsi="Times New Roman" w:eastAsia="Times New Roman" w:cs="Times New Roman"/>
                <w:spacing w:val="1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5009.268</w:t>
            </w:r>
          </w:p>
        </w:tc>
      </w:tr>
      <w:tr>
        <w:trPr>
          <w:trHeight w:val="344" w:hRule="atLeast"/>
        </w:trPr>
        <w:tc>
          <w:tcPr>
            <w:tcW w:w="4793" w:type="dxa"/>
            <w:vAlign w:val="top"/>
          </w:tcPr>
          <w:p>
            <w:pPr>
              <w:pStyle w:val="TableText"/>
              <w:ind w:left="114"/>
              <w:spacing w:before="116" w:line="212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pacing w:val="-1"/>
              </w:rPr>
              <w:t>镉（以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Cd</w:t>
            </w:r>
            <w:r>
              <w:rPr>
                <w:spacing w:val="-1"/>
              </w:rPr>
              <w:t>计</w:t>
            </w:r>
            <w:r>
              <w:rPr>
                <w:spacing w:val="1"/>
              </w:rPr>
              <w:t>），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</w:p>
        </w:tc>
        <w:tc>
          <w:tcPr>
            <w:tcW w:w="1568" w:type="dxa"/>
            <w:vAlign w:val="top"/>
          </w:tcPr>
          <w:p>
            <w:pPr>
              <w:ind w:left="674"/>
              <w:spacing w:before="152" w:line="181" w:lineRule="auto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ascii="Calibri" w:hAnsi="Calibri" w:eastAsia="Calibri" w:cs="Calibri"/>
                <w:sz w:val="18"/>
                <w:szCs w:val="18"/>
                <w:spacing w:val="-3"/>
              </w:rPr>
              <w:t>0.5</w:t>
            </w:r>
          </w:p>
        </w:tc>
        <w:tc>
          <w:tcPr>
            <w:tcW w:w="3212" w:type="dxa"/>
            <w:vAlign w:val="top"/>
          </w:tcPr>
          <w:p>
            <w:pPr>
              <w:pStyle w:val="TableText"/>
              <w:ind w:left="594"/>
              <w:spacing w:before="115" w:line="223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2"/>
              </w:rPr>
              <w:t>GB 5009.</w:t>
            </w:r>
            <w:r>
              <w:rPr>
                <w:rFonts w:ascii="Times New Roman" w:hAnsi="Times New Roman" w:eastAsia="Times New Roman" w:cs="Times New Roman"/>
                <w:spacing w:val="-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15</w:t>
            </w:r>
            <w:r>
              <w:rPr>
                <w:spacing w:val="-2"/>
              </w:rPr>
              <w:t>或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GB</w:t>
            </w:r>
            <w:r>
              <w:rPr>
                <w:rFonts w:ascii="Times New Roman" w:hAnsi="Times New Roman" w:eastAsia="Times New Roman" w:cs="Times New Roman"/>
                <w:spacing w:val="1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5009.268</w:t>
            </w:r>
          </w:p>
        </w:tc>
      </w:tr>
      <w:tr>
        <w:trPr>
          <w:trHeight w:val="349" w:hRule="atLeast"/>
        </w:trPr>
        <w:tc>
          <w:tcPr>
            <w:tcW w:w="9573" w:type="dxa"/>
            <w:vAlign w:val="top"/>
            <w:gridSpan w:val="3"/>
          </w:tcPr>
          <w:p>
            <w:pPr>
              <w:pStyle w:val="TableText"/>
              <w:ind w:left="112"/>
              <w:spacing w:before="117" w:line="219" w:lineRule="auto"/>
              <w:rPr/>
            </w:pPr>
            <w:r>
              <w:rPr>
                <w:rFonts w:ascii="Times New Roman" w:hAnsi="Times New Roman" w:eastAsia="Times New Roman" w:cs="Times New Roman"/>
                <w:sz w:val="11"/>
                <w:szCs w:val="11"/>
                <w:position w:val="5"/>
              </w:rPr>
              <w:t>a   </w:t>
            </w:r>
            <w:r>
              <w:rPr/>
              <w:t>污染物限量值基于干品确定，鲜品根据干品按水分进行折算。</w:t>
            </w:r>
          </w:p>
        </w:tc>
      </w:tr>
    </w:tbl>
    <w:p>
      <w:pPr>
        <w:ind w:left="5"/>
        <w:spacing w:before="128" w:line="231" w:lineRule="auto"/>
        <w:outlineLvl w:val="2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6"/>
        </w:rPr>
        <w:t>3.5</w:t>
      </w:r>
      <w:r>
        <w:rPr>
          <w:rFonts w:ascii="SimHei" w:hAnsi="SimHei" w:eastAsia="SimHei" w:cs="SimHei"/>
          <w:sz w:val="20"/>
          <w:szCs w:val="20"/>
          <w:spacing w:val="6"/>
        </w:rPr>
        <w:t xml:space="preserve">  </w:t>
      </w:r>
      <w:r>
        <w:rPr>
          <w:rFonts w:ascii="SimHei" w:hAnsi="SimHei" w:eastAsia="SimHei" w:cs="SimHei"/>
          <w:sz w:val="20"/>
          <w:szCs w:val="20"/>
          <w:spacing w:val="6"/>
        </w:rPr>
        <w:t>农药限量</w:t>
      </w:r>
    </w:p>
    <w:p>
      <w:pPr>
        <w:ind w:left="425"/>
        <w:spacing w:before="165" w:line="227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8"/>
        </w:rPr>
        <w:t>农药限量应符合</w:t>
      </w:r>
      <w:r>
        <w:rPr>
          <w:rFonts w:ascii="Times New Roman" w:hAnsi="Times New Roman" w:eastAsia="Times New Roman" w:cs="Times New Roman"/>
          <w:sz w:val="20"/>
          <w:szCs w:val="20"/>
        </w:rPr>
        <w:t>GB</w:t>
      </w:r>
      <w:r>
        <w:rPr>
          <w:rFonts w:ascii="Times New Roman" w:hAnsi="Times New Roman" w:eastAsia="Times New Roman" w:cs="Times New Roman"/>
          <w:sz w:val="20"/>
          <w:szCs w:val="20"/>
          <w:spacing w:val="8"/>
        </w:rPr>
        <w:t xml:space="preserve"> 2763</w:t>
      </w:r>
      <w:r>
        <w:rPr>
          <w:rFonts w:ascii="SimSun" w:hAnsi="SimSun" w:eastAsia="SimSun" w:cs="SimSun"/>
          <w:sz w:val="20"/>
          <w:szCs w:val="20"/>
          <w:spacing w:val="8"/>
        </w:rPr>
        <w:t>及农业农村部的相关规定。</w:t>
      </w:r>
    </w:p>
    <w:p>
      <w:pPr>
        <w:spacing w:before="284" w:line="231" w:lineRule="auto"/>
        <w:outlineLvl w:val="1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3"/>
        </w:rPr>
        <w:t>4</w:t>
      </w:r>
      <w:r>
        <w:rPr>
          <w:rFonts w:ascii="SimHei" w:hAnsi="SimHei" w:eastAsia="SimHei" w:cs="SimHei"/>
          <w:sz w:val="20"/>
          <w:szCs w:val="20"/>
          <w:spacing w:val="10"/>
        </w:rPr>
        <w:t xml:space="preserve">  </w:t>
      </w:r>
      <w:r>
        <w:rPr>
          <w:rFonts w:ascii="SimHei" w:hAnsi="SimHei" w:eastAsia="SimHei" w:cs="SimHei"/>
          <w:sz w:val="20"/>
          <w:szCs w:val="20"/>
          <w:spacing w:val="3"/>
        </w:rPr>
        <w:t>其他</w:t>
      </w:r>
    </w:p>
    <w:p>
      <w:pPr>
        <w:pStyle w:val="BodyText"/>
        <w:spacing w:line="253" w:lineRule="auto"/>
        <w:rPr/>
      </w:pPr>
      <w:r/>
    </w:p>
    <w:p>
      <w:pPr>
        <w:ind w:left="5" w:firstLine="421"/>
        <w:spacing w:before="66" w:line="296" w:lineRule="auto"/>
        <w:rPr>
          <w:rFonts w:ascii="SimSun" w:hAnsi="SimSun" w:eastAsia="SimSun" w:cs="SimSun"/>
          <w:sz w:val="20"/>
          <w:szCs w:val="20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1974273</wp:posOffset>
            </wp:positionH>
            <wp:positionV relativeFrom="paragraph">
              <wp:posOffset>1337935</wp:posOffset>
            </wp:positionV>
            <wp:extent cx="1889759" cy="9525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9759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0"/>
          <w:szCs w:val="20"/>
          <w:spacing w:val="9"/>
        </w:rPr>
        <w:t>按照传统方式适量食用，孕妇、哺乳期妇女及婴幼儿等特殊人群不推荐食用。传统方式通常指用于鲜</w:t>
      </w:r>
      <w:r>
        <w:rPr>
          <w:rFonts w:ascii="SimSun" w:hAnsi="SimSun" w:eastAsia="SimSun" w:cs="SimSun"/>
          <w:sz w:val="20"/>
          <w:szCs w:val="20"/>
          <w:spacing w:val="6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9"/>
        </w:rPr>
        <w:t>食、煲汤、入菜、榨汁、泡茶、传统方式泡酒等。</w:t>
      </w:r>
    </w:p>
    <w:p>
      <w:pPr>
        <w:spacing w:line="296" w:lineRule="auto"/>
        <w:sectPr>
          <w:headerReference w:type="default" r:id="rId10"/>
          <w:footerReference w:type="default" r:id="rId11"/>
          <w:pgSz w:w="11905" w:h="16839"/>
          <w:pgMar w:top="1762" w:right="852" w:bottom="1067" w:left="1420" w:header="1440" w:footer="835" w:gutter="0"/>
        </w:sectPr>
        <w:rPr>
          <w:rFonts w:ascii="SimSun" w:hAnsi="SimSun" w:eastAsia="SimSun" w:cs="SimSun"/>
          <w:sz w:val="20"/>
          <w:szCs w:val="20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927" w:right="584" w:hanging="308"/>
        <w:spacing w:before="140" w:line="401" w:lineRule="auto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b/>
          <w:bCs/>
          <w:spacing w:val="-15"/>
        </w:rPr>
        <w:t>浙江省食品安全地方标准《铁皮石斛》</w:t>
      </w:r>
      <w:r>
        <w:rPr>
          <w:rFonts w:ascii="SimSun" w:hAnsi="SimSun" w:eastAsia="SimSun" w:cs="SimSun"/>
          <w:sz w:val="43"/>
          <w:szCs w:val="43"/>
          <w:spacing w:val="12"/>
        </w:rPr>
        <w:t xml:space="preserve"> </w:t>
      </w:r>
      <w:r>
        <w:rPr>
          <w:rFonts w:ascii="SimSun" w:hAnsi="SimSun" w:eastAsia="SimSun" w:cs="SimSun"/>
          <w:sz w:val="43"/>
          <w:szCs w:val="43"/>
          <w:b/>
          <w:bCs/>
          <w:spacing w:val="26"/>
        </w:rPr>
        <w:t>（</w:t>
      </w:r>
      <w:r>
        <w:rPr>
          <w:rFonts w:ascii="SimSun" w:hAnsi="SimSun" w:eastAsia="SimSun" w:cs="SimSun"/>
          <w:sz w:val="43"/>
          <w:szCs w:val="43"/>
          <w:b/>
          <w:bCs/>
        </w:rPr>
        <w:t>DBS</w:t>
      </w:r>
      <w:r>
        <w:rPr>
          <w:rFonts w:ascii="SimSun" w:hAnsi="SimSun" w:eastAsia="SimSun" w:cs="SimSun"/>
          <w:sz w:val="43"/>
          <w:szCs w:val="43"/>
          <w:b/>
          <w:bCs/>
          <w:spacing w:val="26"/>
        </w:rPr>
        <w:t>33/</w:t>
      </w:r>
      <w:r>
        <w:rPr>
          <w:rFonts w:ascii="SimSun" w:hAnsi="SimSun" w:eastAsia="SimSun" w:cs="SimSun"/>
          <w:sz w:val="43"/>
          <w:szCs w:val="43"/>
          <w:b/>
          <w:bCs/>
        </w:rPr>
        <w:t>XXXX</w:t>
      </w:r>
      <w:r>
        <w:rPr>
          <w:rFonts w:ascii="SimSun" w:hAnsi="SimSun" w:eastAsia="SimSun" w:cs="SimSun"/>
          <w:sz w:val="43"/>
          <w:szCs w:val="43"/>
          <w:b/>
          <w:bCs/>
          <w:spacing w:val="26"/>
        </w:rPr>
        <w:t>—202X）编制说明</w:t>
      </w:r>
    </w:p>
    <w:p>
      <w:pPr>
        <w:pStyle w:val="BodyText"/>
        <w:spacing w:line="384" w:lineRule="auto"/>
        <w:rPr/>
      </w:pPr>
      <w:r/>
    </w:p>
    <w:p>
      <w:pPr>
        <w:ind w:left="29"/>
        <w:spacing w:before="91" w:line="222" w:lineRule="auto"/>
        <w:outlineLvl w:val="0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3"/>
        </w:rPr>
        <w:t>一、工作简况</w:t>
      </w:r>
    </w:p>
    <w:p>
      <w:pPr>
        <w:pStyle w:val="BodyText"/>
        <w:spacing w:line="285" w:lineRule="auto"/>
        <w:rPr/>
      </w:pPr>
      <w:r/>
    </w:p>
    <w:p>
      <w:pPr>
        <w:ind w:left="44"/>
        <w:spacing w:before="91" w:line="225" w:lineRule="auto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-5"/>
        </w:rPr>
        <w:t>（一）任务来源</w:t>
      </w:r>
    </w:p>
    <w:p>
      <w:pPr>
        <w:ind w:left="22" w:right="29" w:firstLine="558"/>
        <w:spacing w:before="220" w:line="36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根据《浙江省卫生健康委员会关于印发</w:t>
      </w:r>
      <w:r>
        <w:rPr>
          <w:rFonts w:ascii="FangSong_GB2312" w:hAnsi="FangSong_GB2312" w:eastAsia="FangSong_GB2312" w:cs="FangSong_GB2312"/>
          <w:sz w:val="28"/>
          <w:szCs w:val="28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2024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年度食品安全地方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标准项目计划的通知》（浙卫发函〔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2024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〕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239</w:t>
      </w:r>
      <w:r>
        <w:rPr>
          <w:rFonts w:ascii="Times New Roman" w:hAnsi="Times New Roman" w:eastAsia="Times New Roman" w:cs="Times New Roman"/>
          <w:sz w:val="28"/>
          <w:szCs w:val="28"/>
          <w:spacing w:val="3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号）要求，《浙江省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铁皮石斛》列为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2024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年度浙江省食品安全地方标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准制定项目，项目委托浙江省中药材产业协会、浙江省疾病预防控制</w:t>
      </w:r>
      <w:r>
        <w:rPr>
          <w:rFonts w:ascii="FangSong_GB2312" w:hAnsi="FangSong_GB2312" w:eastAsia="FangSong_GB2312" w:cs="FangSong_GB2312"/>
          <w:sz w:val="28"/>
          <w:szCs w:val="28"/>
          <w:spacing w:val="1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中心组建标准起草组制定。</w:t>
      </w:r>
    </w:p>
    <w:p>
      <w:pPr>
        <w:ind w:left="44"/>
        <w:spacing w:before="1" w:line="228" w:lineRule="auto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-4"/>
        </w:rPr>
        <w:t>（二）制标必要性</w:t>
      </w:r>
    </w:p>
    <w:p>
      <w:pPr>
        <w:ind w:left="20" w:firstLine="567"/>
        <w:spacing w:before="204" w:line="35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铁皮石斛作为传统珍稀名贵中药材，自</w:t>
      </w:r>
      <w:r>
        <w:rPr>
          <w:rFonts w:ascii="FangSong_GB2312" w:hAnsi="FangSong_GB2312" w:eastAsia="FangSong_GB2312" w:cs="FangSong_GB2312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20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世纪</w:t>
      </w:r>
      <w:r>
        <w:rPr>
          <w:rFonts w:ascii="FangSong_GB2312" w:hAnsi="FangSong_GB2312" w:eastAsia="FangSong_GB2312" w:cs="FangSong_GB2312"/>
          <w:sz w:val="28"/>
          <w:szCs w:val="28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80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年代中期，浙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江省率先成功突破了铁皮石斛仿生态人工栽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培技术后，逐渐形成了集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科研、种植、加工、销售为一体的铁皮石斛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产业群，成为全国铁皮石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斛种植、加工主产区和主销区，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2021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年浙江省种植面积</w:t>
      </w:r>
      <w:r>
        <w:rPr>
          <w:rFonts w:ascii="FangSong_GB2312" w:hAnsi="FangSong_GB2312" w:eastAsia="FangSong_GB2312" w:cs="FangSong_GB2312"/>
          <w:sz w:val="28"/>
          <w:szCs w:val="28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5</w:t>
      </w:r>
      <w:r>
        <w:rPr>
          <w:rFonts w:ascii="Times New Roman" w:hAnsi="Times New Roman" w:eastAsia="Times New Roman" w:cs="Times New Roman"/>
          <w:sz w:val="28"/>
          <w:szCs w:val="28"/>
        </w:rPr>
        <w:t>.58</w:t>
      </w:r>
      <w:r>
        <w:rPr>
          <w:rFonts w:ascii="Times New Roman" w:hAnsi="Times New Roman" w:eastAsia="Times New Roman" w:cs="Times New Roman"/>
          <w:sz w:val="28"/>
          <w:szCs w:val="28"/>
          <w:spacing w:val="2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万亩，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总产量近</w:t>
      </w:r>
      <w:r>
        <w:rPr>
          <w:rFonts w:ascii="FangSong_GB2312" w:hAnsi="FangSong_GB2312" w:eastAsia="FangSong_GB2312" w:cs="FangSong_GB2312"/>
          <w:sz w:val="28"/>
          <w:szCs w:val="28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2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万吨，总产值</w:t>
      </w:r>
      <w:r>
        <w:rPr>
          <w:rFonts w:ascii="FangSong_GB2312" w:hAnsi="FangSong_GB2312" w:eastAsia="FangSong_GB2312" w:cs="FangSong_GB2312"/>
          <w:sz w:val="28"/>
          <w:szCs w:val="28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50</w:t>
      </w:r>
      <w:r>
        <w:rPr>
          <w:rFonts w:ascii="Times New Roman" w:hAnsi="Times New Roman" w:eastAsia="Times New Roman" w:cs="Times New Roman"/>
          <w:sz w:val="28"/>
          <w:szCs w:val="28"/>
          <w:spacing w:val="23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多亿元，产业规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模占全国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70%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强，引领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着全国产业的发展。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2018 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年被列为新“</w:t>
      </w:r>
      <w:r>
        <w:rPr>
          <w:rFonts w:ascii="FangSong_GB2312" w:hAnsi="FangSong_GB2312" w:eastAsia="FangSong_GB2312" w:cs="FangSong_GB2312"/>
          <w:sz w:val="28"/>
          <w:szCs w:val="28"/>
          <w:spacing w:val="-9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浙八味”培育品种。随着人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工种植铁皮石斛的技术逐渐普及，种植面积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不断增加，资源的日益丰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富，同时养生保健知识的普及，食用人群也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在逐年增加，铁皮石斛市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场需求不断加大。铁皮石斛主要成分为石斛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活性多糖、石斛碱、石斛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菲、多种氨基酸、钙、铁、锌、硒等微量元素，营养价值高，铁皮石</w:t>
      </w:r>
      <w:r>
        <w:rPr>
          <w:rFonts w:ascii="FangSong_GB2312" w:hAnsi="FangSong_GB2312" w:eastAsia="FangSong_GB2312" w:cs="FangSong_GB2312"/>
          <w:sz w:val="28"/>
          <w:szCs w:val="28"/>
          <w:spacing w:val="1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斛在浙江省、云南省、广东省、福建省、上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海市等地区有作为食品原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料使用历史，主要方法为即食、煲汤、做菜、榨汁、泡茶、泡酒等，</w:t>
      </w:r>
    </w:p>
    <w:p>
      <w:pPr>
        <w:spacing w:line="359" w:lineRule="auto"/>
        <w:sectPr>
          <w:headerReference w:type="default" r:id="rId1"/>
          <w:footerReference w:type="default" r:id="rId13"/>
          <w:pgSz w:w="11906" w:h="16839"/>
          <w:pgMar w:top="400" w:right="1770" w:bottom="1362" w:left="1785" w:header="0" w:footer="1200" w:gutter="0"/>
        </w:sectPr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28" w:right="45" w:firstLine="35"/>
        <w:spacing w:before="91" w:line="35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民间有“吃药一箩筐，不如铁皮石斛一碗汤”的美誉；按照传统习惯</w:t>
      </w:r>
      <w:r>
        <w:rPr>
          <w:rFonts w:ascii="FangSong_GB2312" w:hAnsi="FangSong_GB2312" w:eastAsia="FangSong_GB2312" w:cs="FangSong_GB2312"/>
          <w:sz w:val="28"/>
          <w:szCs w:val="28"/>
          <w:spacing w:val="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长期正常使用，未见不良反应报道，并有明显提高免疫力的作用，在</w:t>
      </w:r>
      <w:r>
        <w:rPr>
          <w:rFonts w:ascii="FangSong_GB2312" w:hAnsi="FangSong_GB2312" w:eastAsia="FangSong_GB2312" w:cs="FangSong_GB2312"/>
          <w:sz w:val="28"/>
          <w:szCs w:val="28"/>
          <w:spacing w:val="1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抗击“新冠肺炎”中也发挥了明显作用。浙江省疾病预防控制中心在</w:t>
      </w:r>
      <w:r>
        <w:rPr>
          <w:rFonts w:ascii="FangSong_GB2312" w:hAnsi="FangSong_GB2312" w:eastAsia="FangSong_GB2312" w:cs="FangSong_GB2312"/>
          <w:sz w:val="28"/>
          <w:szCs w:val="28"/>
          <w:spacing w:val="1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组织制定《浙江省食品安全地方标准干制铁皮石斛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花》（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DB33/ 3011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3"/>
        </w:rPr>
        <w:t>—</w:t>
      </w:r>
      <w:r>
        <w:rPr>
          <w:rFonts w:ascii="Times New Roman" w:hAnsi="Times New Roman" w:eastAsia="Times New Roman" w:cs="Times New Roman"/>
          <w:sz w:val="28"/>
          <w:szCs w:val="28"/>
          <w:spacing w:val="-13"/>
        </w:rPr>
        <w:t>2020</w:t>
      </w:r>
      <w:r>
        <w:rPr>
          <w:rFonts w:ascii="FangSong_GB2312" w:hAnsi="FangSong_GB2312" w:eastAsia="FangSong_GB2312" w:cs="FangSong_GB2312"/>
          <w:sz w:val="28"/>
          <w:szCs w:val="28"/>
          <w:spacing w:val="-13"/>
        </w:rPr>
        <w:t>）和《浙江省食品安全地方标准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-1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3"/>
        </w:rPr>
        <w:t>干制铁皮石斛叶》（</w:t>
      </w:r>
      <w:r>
        <w:rPr>
          <w:rFonts w:ascii="Times New Roman" w:hAnsi="Times New Roman" w:eastAsia="Times New Roman" w:cs="Times New Roman"/>
          <w:sz w:val="28"/>
          <w:szCs w:val="28"/>
          <w:spacing w:val="-13"/>
        </w:rPr>
        <w:t>DB33/ 3012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—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2020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）过程中，进行了大量的铁皮石斛主要营养成分及含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量分析、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国内外食用历史资料收集、卫生学检验等工作，均为铁皮石斛的安全</w:t>
      </w:r>
      <w:r>
        <w:rPr>
          <w:rFonts w:ascii="FangSong_GB2312" w:hAnsi="FangSong_GB2312" w:eastAsia="FangSong_GB2312" w:cs="FangSong_GB2312"/>
          <w:sz w:val="28"/>
          <w:szCs w:val="28"/>
          <w:spacing w:val="1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食用提供了科学依据，省卫健委也出具了关于人工种植的铁皮石斛在</w:t>
      </w:r>
      <w:r>
        <w:rPr>
          <w:rFonts w:ascii="FangSong_GB2312" w:hAnsi="FangSong_GB2312" w:eastAsia="FangSong_GB2312" w:cs="FangSong_GB2312"/>
          <w:sz w:val="28"/>
          <w:szCs w:val="28"/>
          <w:spacing w:val="1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浙江省食用历史</w:t>
      </w:r>
      <w:r>
        <w:rPr>
          <w:rFonts w:ascii="FangSong_GB2312" w:hAnsi="FangSong_GB2312" w:eastAsia="FangSong_GB2312" w:cs="FangSong_GB2312"/>
          <w:sz w:val="28"/>
          <w:szCs w:val="28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30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年以上的证明。</w:t>
      </w:r>
    </w:p>
    <w:p>
      <w:pPr>
        <w:ind w:left="21" w:right="45" w:firstLine="580"/>
        <w:spacing w:before="1" w:line="35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随着《关于对党参等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9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种物质开展按照传统既是食品又是中药材</w:t>
      </w:r>
      <w:r>
        <w:rPr>
          <w:rFonts w:ascii="FangSong_GB2312" w:hAnsi="FangSong_GB2312" w:eastAsia="FangSong_GB2312" w:cs="FangSong_GB2312"/>
          <w:sz w:val="28"/>
          <w:szCs w:val="28"/>
          <w:spacing w:val="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的物质管理试点工作的通知》（国卫食品函〔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2019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〕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311</w:t>
      </w:r>
      <w:r>
        <w:rPr>
          <w:rFonts w:ascii="Times New Roman" w:hAnsi="Times New Roman" w:eastAsia="Times New Roman" w:cs="Times New Roman"/>
          <w:sz w:val="28"/>
          <w:szCs w:val="28"/>
          <w:spacing w:val="3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号）和《关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于党参等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9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种新增按照传统既是食品又是中药材的物质公告》（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2023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年第</w:t>
      </w:r>
      <w:r>
        <w:rPr>
          <w:rFonts w:ascii="FangSong_GB2312" w:hAnsi="FangSong_GB2312" w:eastAsia="FangSong_GB2312" w:cs="FangSong_GB2312"/>
          <w:sz w:val="28"/>
          <w:szCs w:val="28"/>
          <w:spacing w:val="-4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9</w:t>
      </w:r>
      <w:r>
        <w:rPr>
          <w:rFonts w:ascii="Times New Roman" w:hAnsi="Times New Roman" w:eastAsia="Times New Roman" w:cs="Times New Roman"/>
          <w:sz w:val="28"/>
          <w:szCs w:val="28"/>
          <w:spacing w:val="23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号）的发布，铁皮石斛在可以作为食药两用物质进行生产经营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的政策驱动下，铁皮石斛除了原有的药用和保健用途径外，市场上不</w:t>
      </w:r>
      <w:r>
        <w:rPr>
          <w:rFonts w:ascii="FangSong_GB2312" w:hAnsi="FangSong_GB2312" w:eastAsia="FangSong_GB2312" w:cs="FangSong_GB2312"/>
          <w:sz w:val="28"/>
          <w:szCs w:val="28"/>
          <w:spacing w:val="1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断涌现出以铁皮石斛为主要原料制成的相关食品，如铁皮石斛饮品、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铁皮石斛压片糖果、铁皮石斛茶等。铁皮石斛原料及其产品在国内外</w:t>
      </w:r>
      <w:r>
        <w:rPr>
          <w:rFonts w:ascii="FangSong_GB2312" w:hAnsi="FangSong_GB2312" w:eastAsia="FangSong_GB2312" w:cs="FangSong_GB2312"/>
          <w:sz w:val="28"/>
          <w:szCs w:val="28"/>
          <w:spacing w:val="1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市场发展迅速，但目前仍缺少相应食品的执行标准，给产品的生产、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检测和监管带来了一定的局限，不利于产品质量控制和产品推广。因</w:t>
      </w:r>
      <w:r>
        <w:rPr>
          <w:rFonts w:ascii="FangSong_GB2312" w:hAnsi="FangSong_GB2312" w:eastAsia="FangSong_GB2312" w:cs="FangSong_GB2312"/>
          <w:sz w:val="28"/>
          <w:szCs w:val="28"/>
          <w:spacing w:val="1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此，拟制定《铁皮石斛茎》作为食品的团体标准，明确其相关术语和</w:t>
      </w:r>
      <w:r>
        <w:rPr>
          <w:rFonts w:ascii="FangSong_GB2312" w:hAnsi="FangSong_GB2312" w:eastAsia="FangSong_GB2312" w:cs="FangSong_GB2312"/>
          <w:sz w:val="28"/>
          <w:szCs w:val="28"/>
          <w:spacing w:val="1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定义，制定其相关指标要求和检验方法等，保障铁皮石斛茎作为普通</w:t>
      </w:r>
      <w:r>
        <w:rPr>
          <w:rFonts w:ascii="FangSong_GB2312" w:hAnsi="FangSong_GB2312" w:eastAsia="FangSong_GB2312" w:cs="FangSong_GB2312"/>
          <w:sz w:val="28"/>
          <w:szCs w:val="28"/>
          <w:spacing w:val="1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食品的食用安全，并推动我省铁皮石斛特色产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业的健康发展。</w:t>
      </w:r>
    </w:p>
    <w:p>
      <w:pPr>
        <w:ind w:left="44"/>
        <w:spacing w:before="165" w:line="225" w:lineRule="auto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-7"/>
        </w:rPr>
        <w:t>（三）项</w:t>
      </w:r>
      <w:r>
        <w:rPr>
          <w:rFonts w:ascii="KaiTi" w:hAnsi="KaiTi" w:eastAsia="KaiTi" w:cs="KaiTi"/>
          <w:sz w:val="28"/>
          <w:szCs w:val="28"/>
          <w:spacing w:val="-55"/>
        </w:rPr>
        <w:t xml:space="preserve"> </w:t>
      </w:r>
      <w:r>
        <w:rPr>
          <w:rFonts w:ascii="KaiTi" w:hAnsi="KaiTi" w:eastAsia="KaiTi" w:cs="KaiTi"/>
          <w:sz w:val="28"/>
          <w:szCs w:val="28"/>
          <w:spacing w:val="-7"/>
        </w:rPr>
        <w:t>目负责单位及主要起草过程</w:t>
      </w:r>
    </w:p>
    <w:p>
      <w:pPr>
        <w:pStyle w:val="BodyText"/>
        <w:spacing w:line="285" w:lineRule="auto"/>
        <w:rPr/>
      </w:pPr>
      <w:r/>
    </w:p>
    <w:p>
      <w:pPr>
        <w:ind w:left="28" w:firstLine="572"/>
        <w:spacing w:before="91" w:line="365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浙江省中药材产业协会、浙江省疾病预防控制中心承担《铁皮石</w:t>
      </w:r>
      <w:r>
        <w:rPr>
          <w:rFonts w:ascii="FangSong_GB2312" w:hAnsi="FangSong_GB2312" w:eastAsia="FangSong_GB2312" w:cs="FangSong_GB2312"/>
          <w:sz w:val="28"/>
          <w:szCs w:val="28"/>
          <w:spacing w:val="1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斛》标准制定项目。浙江中医药大学、浙江寿仙谷医药股份有限公司、</w:t>
      </w:r>
      <w:r>
        <w:rPr>
          <w:rFonts w:ascii="FangSong_GB2312" w:hAnsi="FangSong_GB2312" w:eastAsia="FangSong_GB2312" w:cs="FangSong_GB2312"/>
          <w:sz w:val="28"/>
          <w:szCs w:val="28"/>
          <w:spacing w:val="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作为协作单位参与标准的制定。标准主要起草人为：。</w:t>
      </w:r>
    </w:p>
    <w:p>
      <w:pPr>
        <w:spacing w:line="365" w:lineRule="auto"/>
        <w:sectPr>
          <w:footerReference w:type="default" r:id="rId14"/>
          <w:pgSz w:w="11906" w:h="16839"/>
          <w:pgMar w:top="400" w:right="1712" w:bottom="1362" w:left="1785" w:header="0" w:footer="1200" w:gutter="0"/>
        </w:sectPr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22" w:right="29" w:firstLine="559"/>
        <w:spacing w:before="91" w:line="36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标准草案编制工作总历时</w:t>
      </w:r>
      <w:r>
        <w:rPr>
          <w:rFonts w:ascii="FangSong_GB2312" w:hAnsi="FangSong_GB2312" w:eastAsia="FangSong_GB2312" w:cs="FangSong_GB2312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14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个月。主要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工作过程包括以下</w:t>
      </w:r>
      <w:r>
        <w:rPr>
          <w:rFonts w:ascii="FangSong_GB2312" w:hAnsi="FangSong_GB2312" w:eastAsia="FangSong_GB2312" w:cs="FangSong_GB2312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10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个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阶段：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1.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产业发展及技术标准现状分析；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2.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标准草案框架确定；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3.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实</w:t>
      </w:r>
      <w:r>
        <w:rPr>
          <w:rFonts w:ascii="FangSong_GB2312" w:hAnsi="FangSong_GB2312" w:eastAsia="FangSong_GB2312" w:cs="FangSong_GB2312"/>
          <w:sz w:val="28"/>
          <w:szCs w:val="28"/>
          <w:spacing w:val="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地调研铁皮石斛生产过程；</w:t>
      </w:r>
      <w:r>
        <w:rPr>
          <w:rFonts w:ascii="Times New Roman" w:hAnsi="Times New Roman" w:eastAsia="Times New Roman" w:cs="Times New Roman"/>
          <w:sz w:val="28"/>
          <w:szCs w:val="28"/>
        </w:rPr>
        <w:t>4.</w:t>
      </w:r>
      <w:r>
        <w:rPr>
          <w:rFonts w:ascii="Times New Roman" w:hAnsi="Times New Roman" w:eastAsia="Times New Roman" w:cs="Times New Roman"/>
          <w:sz w:val="28"/>
          <w:szCs w:val="28"/>
          <w:spacing w:val="-3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收集整理企业前期检测数据；</w:t>
      </w:r>
      <w:r>
        <w:rPr>
          <w:rFonts w:ascii="Times New Roman" w:hAnsi="Times New Roman" w:eastAsia="Times New Roman" w:cs="Times New Roman"/>
          <w:sz w:val="28"/>
          <w:szCs w:val="28"/>
        </w:rPr>
        <w:t>5.</w:t>
      </w:r>
      <w:r>
        <w:rPr>
          <w:rFonts w:ascii="FangSong_GB2312" w:hAnsi="FangSong_GB2312" w:eastAsia="FangSong_GB2312" w:cs="FangSong_GB2312"/>
          <w:sz w:val="28"/>
          <w:szCs w:val="28"/>
        </w:rPr>
        <w:t>采集样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品实验室检测；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6.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标准草案编制及研讨；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7.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行业公开征求意见；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8.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形</w:t>
      </w:r>
      <w:r>
        <w:rPr>
          <w:rFonts w:ascii="FangSong_GB2312" w:hAnsi="FangSong_GB2312" w:eastAsia="FangSong_GB2312" w:cs="FangSong_GB2312"/>
          <w:sz w:val="28"/>
          <w:szCs w:val="28"/>
          <w:spacing w:val="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成标准征求意见稿；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9.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卫生健康委网上公开征求意见；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10.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形成标准送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审稿。</w:t>
      </w:r>
    </w:p>
    <w:p>
      <w:pPr>
        <w:ind w:left="581"/>
        <w:spacing w:before="3" w:line="21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标准制定过程中主要工作：</w:t>
      </w:r>
    </w:p>
    <w:p>
      <w:pPr>
        <w:ind w:left="28" w:firstLine="550"/>
        <w:spacing w:before="235" w:line="36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2024 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年</w:t>
      </w:r>
      <w:r>
        <w:rPr>
          <w:rFonts w:ascii="FangSong_GB2312" w:hAnsi="FangSong_GB2312" w:eastAsia="FangSong_GB2312" w:cs="FangSong_GB2312"/>
          <w:sz w:val="28"/>
          <w:szCs w:val="28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spacing w:val="3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月，项目获得省卫生健康委员会立项，签订委托协议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书。在正式启动标准起草工作初期，项目组就前期《关于做好铁皮石</w:t>
      </w:r>
      <w:r>
        <w:rPr>
          <w:rFonts w:ascii="FangSong_GB2312" w:hAnsi="FangSong_GB2312" w:eastAsia="FangSong_GB2312" w:cs="FangSong_GB2312"/>
          <w:sz w:val="28"/>
          <w:szCs w:val="28"/>
          <w:spacing w:val="1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斛、灵芝、山茱萸等按照传统既是食品又是中药材的物质管理试点产</w:t>
      </w:r>
      <w:r>
        <w:rPr>
          <w:rFonts w:ascii="FangSong_GB2312" w:hAnsi="FangSong_GB2312" w:eastAsia="FangSong_GB2312" w:cs="FangSong_GB2312"/>
          <w:sz w:val="28"/>
          <w:szCs w:val="28"/>
          <w:spacing w:val="1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品申报与许可工作的通知》中《试点物质原料质量安全指标要求》，</w:t>
      </w:r>
      <w:r>
        <w:rPr>
          <w:rFonts w:ascii="FangSong_GB2312" w:hAnsi="FangSong_GB2312" w:eastAsia="FangSong_GB2312" w:cs="FangSong_GB2312"/>
          <w:sz w:val="28"/>
          <w:szCs w:val="28"/>
          <w:spacing w:val="1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浙江省疾病预防控制中心作为技术机构，具体负责各项风险监测和风</w:t>
      </w:r>
      <w:r>
        <w:rPr>
          <w:rFonts w:ascii="FangSong_GB2312" w:hAnsi="FangSong_GB2312" w:eastAsia="FangSong_GB2312" w:cs="FangSong_GB2312"/>
          <w:sz w:val="28"/>
          <w:szCs w:val="28"/>
          <w:spacing w:val="1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险评估工作，对检测和收集的铁皮石斛食品安全标准相关数据进行整</w:t>
      </w:r>
      <w:r>
        <w:rPr>
          <w:rFonts w:ascii="FangSong_GB2312" w:hAnsi="FangSong_GB2312" w:eastAsia="FangSong_GB2312" w:cs="FangSong_GB2312"/>
          <w:sz w:val="28"/>
          <w:szCs w:val="28"/>
          <w:spacing w:val="1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理、分析。</w:t>
      </w:r>
    </w:p>
    <w:p>
      <w:pPr>
        <w:ind w:left="18" w:right="29" w:firstLine="560"/>
        <w:spacing w:before="6" w:line="368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2024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年</w:t>
      </w:r>
      <w:r>
        <w:rPr>
          <w:rFonts w:ascii="FangSong_GB2312" w:hAnsi="FangSong_GB2312" w:eastAsia="FangSong_GB2312" w:cs="FangSong_GB2312"/>
          <w:sz w:val="28"/>
          <w:szCs w:val="28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12</w:t>
      </w:r>
      <w:r>
        <w:rPr>
          <w:rFonts w:ascii="Times New Roman" w:hAnsi="Times New Roman" w:eastAsia="Times New Roman" w:cs="Times New Roman"/>
          <w:sz w:val="28"/>
          <w:szCs w:val="28"/>
          <w:spacing w:val="2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月，《铁皮石斛》项目制定工作启动会在金华武义召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开。标准起草项目组成员、相关行业协会和企业代表等</w:t>
      </w:r>
      <w:r>
        <w:rPr>
          <w:rFonts w:ascii="FangSong_GB2312" w:hAnsi="FangSong_GB2312" w:eastAsia="FangSong_GB2312" w:cs="FangSong_GB2312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余人参与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了此次会议。会议讨论并明确了标准的适用范围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、拟定了标准的主要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框架，并就标准制定的任务分工、前期数据收集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汇总及标准起草的整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体进度进行了整体安排。</w:t>
      </w:r>
    </w:p>
    <w:p>
      <w:pPr>
        <w:ind w:left="28" w:right="29" w:firstLine="550"/>
        <w:spacing w:before="4" w:line="36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2025 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年</w:t>
      </w:r>
      <w:r>
        <w:rPr>
          <w:rFonts w:ascii="FangSong_GB2312" w:hAnsi="FangSong_GB2312" w:eastAsia="FangSong_GB2312" w:cs="FangSong_GB2312"/>
          <w:sz w:val="28"/>
          <w:szCs w:val="28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3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月，项目组开展起草组征求意见工作，由浙江省中药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材产业协会发文，对浙江省内中药材行业专家进行意见征求，未收集</w:t>
      </w:r>
      <w:r>
        <w:rPr>
          <w:rFonts w:ascii="FangSong_GB2312" w:hAnsi="FangSong_GB2312" w:eastAsia="FangSong_GB2312" w:cs="FangSong_GB2312"/>
          <w:sz w:val="28"/>
          <w:szCs w:val="28"/>
          <w:spacing w:val="1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到相关意见。</w:t>
      </w:r>
    </w:p>
    <w:p>
      <w:pPr>
        <w:ind w:left="22" w:right="29" w:firstLine="556"/>
        <w:spacing w:before="2" w:line="367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2"/>
        </w:rPr>
        <w:t>2025</w:t>
      </w:r>
      <w:r>
        <w:rPr>
          <w:rFonts w:ascii="Times New Roman" w:hAnsi="Times New Roman" w:eastAsia="Times New Roman" w:cs="Times New Roman"/>
          <w:sz w:val="28"/>
          <w:szCs w:val="28"/>
          <w:spacing w:val="2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2"/>
        </w:rPr>
        <w:t>年</w:t>
      </w:r>
      <w:r>
        <w:rPr>
          <w:rFonts w:ascii="FangSong_GB2312" w:hAnsi="FangSong_GB2312" w:eastAsia="FangSong_GB2312" w:cs="FangSong_GB2312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2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spacing w:val="2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2"/>
        </w:rPr>
        <w:t>月，专委会召开标准评审会，对《食品安全地方标准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-1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2"/>
        </w:rPr>
        <w:t>铁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皮石斛》草案进行评审，形成意见</w:t>
      </w:r>
      <w:r>
        <w:rPr>
          <w:rFonts w:ascii="FangSong_GB2312" w:hAnsi="FangSong_GB2312" w:eastAsia="FangSong_GB2312" w:cs="FangSong_GB2312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4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条。</w:t>
      </w:r>
    </w:p>
    <w:p>
      <w:pPr>
        <w:spacing w:line="367" w:lineRule="auto"/>
        <w:sectPr>
          <w:footerReference w:type="default" r:id="rId15"/>
          <w:pgSz w:w="11906" w:h="16839"/>
          <w:pgMar w:top="400" w:right="1770" w:bottom="1362" w:left="1785" w:header="0" w:footer="1200" w:gutter="0"/>
        </w:sectPr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29"/>
        <w:spacing w:before="91" w:line="222" w:lineRule="auto"/>
        <w:outlineLvl w:val="0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1"/>
        </w:rPr>
        <w:t>二、与我国法律法规和其他标准的关系</w:t>
      </w:r>
    </w:p>
    <w:p>
      <w:pPr>
        <w:pStyle w:val="BodyText"/>
        <w:spacing w:line="287" w:lineRule="auto"/>
        <w:rPr/>
      </w:pPr>
      <w:r/>
    </w:p>
    <w:p>
      <w:pPr>
        <w:ind w:left="606"/>
        <w:spacing w:before="91" w:line="216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3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、食品安全国家标准</w:t>
      </w:r>
    </w:p>
    <w:p>
      <w:pPr>
        <w:ind w:left="583"/>
        <w:spacing w:before="232" w:line="21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GB 2762    </w:t>
      </w:r>
      <w:r>
        <w:rPr>
          <w:rFonts w:ascii="FangSong_GB2312" w:hAnsi="FangSong_GB2312" w:eastAsia="FangSong_GB2312" w:cs="FangSong_GB2312"/>
          <w:sz w:val="28"/>
          <w:szCs w:val="28"/>
        </w:rPr>
        <w:t>食品安全国家标准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食品中污染物限量</w:t>
      </w:r>
    </w:p>
    <w:p>
      <w:pPr>
        <w:ind w:left="583"/>
        <w:spacing w:before="237" w:line="21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GB 2763    </w:t>
      </w:r>
      <w:r>
        <w:rPr>
          <w:rFonts w:ascii="FangSong_GB2312" w:hAnsi="FangSong_GB2312" w:eastAsia="FangSong_GB2312" w:cs="FangSong_GB2312"/>
          <w:sz w:val="28"/>
          <w:szCs w:val="28"/>
        </w:rPr>
        <w:t>食品安全国家标准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食品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中农药最大残留限量</w:t>
      </w:r>
    </w:p>
    <w:p>
      <w:pPr>
        <w:ind w:left="583"/>
        <w:spacing w:before="234" w:line="21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GB 5009.3    </w:t>
      </w:r>
      <w:r>
        <w:rPr>
          <w:rFonts w:ascii="FangSong_GB2312" w:hAnsi="FangSong_GB2312" w:eastAsia="FangSong_GB2312" w:cs="FangSong_GB2312"/>
          <w:sz w:val="28"/>
          <w:szCs w:val="28"/>
        </w:rPr>
        <w:t>食品安全国家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食品中水分的测定</w:t>
      </w:r>
    </w:p>
    <w:p>
      <w:pPr>
        <w:ind w:left="583"/>
        <w:spacing w:before="234" w:line="21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GB 5009.4    </w:t>
      </w:r>
      <w:r>
        <w:rPr>
          <w:rFonts w:ascii="FangSong_GB2312" w:hAnsi="FangSong_GB2312" w:eastAsia="FangSong_GB2312" w:cs="FangSong_GB2312"/>
          <w:sz w:val="28"/>
          <w:szCs w:val="28"/>
        </w:rPr>
        <w:t>食品安全国家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食品中灰分的测定</w:t>
      </w:r>
    </w:p>
    <w:p>
      <w:pPr>
        <w:ind w:left="583" w:right="407"/>
        <w:spacing w:before="237" w:line="368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GB 5009.11   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食品安全国家标准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食品中总砷及无机砷的测定</w:t>
      </w:r>
      <w:r>
        <w:rPr>
          <w:rFonts w:ascii="FangSong_GB2312" w:hAnsi="FangSong_GB2312" w:eastAsia="FangSong_GB2312" w:cs="FangSong_GB2312"/>
          <w:sz w:val="28"/>
          <w:szCs w:val="28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GB 5009.12    </w:t>
      </w:r>
      <w:r>
        <w:rPr>
          <w:rFonts w:ascii="FangSong_GB2312" w:hAnsi="FangSong_GB2312" w:eastAsia="FangSong_GB2312" w:cs="FangSong_GB2312"/>
          <w:sz w:val="28"/>
          <w:szCs w:val="28"/>
        </w:rPr>
        <w:t>食品安全国家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食品中铅的测定</w:t>
      </w:r>
    </w:p>
    <w:p>
      <w:pPr>
        <w:ind w:left="583"/>
        <w:spacing w:before="2" w:line="21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GB 5009.15    </w:t>
      </w:r>
      <w:r>
        <w:rPr>
          <w:rFonts w:ascii="FangSong_GB2312" w:hAnsi="FangSong_GB2312" w:eastAsia="FangSong_GB2312" w:cs="FangSong_GB2312"/>
          <w:sz w:val="28"/>
          <w:szCs w:val="28"/>
        </w:rPr>
        <w:t>食品安全国家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食品中镉的测定</w:t>
      </w:r>
    </w:p>
    <w:p>
      <w:pPr>
        <w:ind w:left="583"/>
        <w:spacing w:before="237" w:line="21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GB 5009.17    </w:t>
      </w:r>
      <w:r>
        <w:rPr>
          <w:rFonts w:ascii="FangSong_GB2312" w:hAnsi="FangSong_GB2312" w:eastAsia="FangSong_GB2312" w:cs="FangSong_GB2312"/>
          <w:sz w:val="28"/>
          <w:szCs w:val="28"/>
        </w:rPr>
        <w:t>食品安全国家标准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食品中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总汞及有机汞的测定</w:t>
      </w:r>
    </w:p>
    <w:p>
      <w:pPr>
        <w:ind w:left="583"/>
        <w:spacing w:before="235" w:line="21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GB 5749</w:t>
      </w:r>
      <w:r>
        <w:rPr>
          <w:rFonts w:ascii="Times New Roman" w:hAnsi="Times New Roman" w:eastAsia="Times New Roman" w:cs="Times New Roman"/>
          <w:sz w:val="28"/>
          <w:szCs w:val="28"/>
          <w:spacing w:val="9"/>
        </w:rPr>
        <w:t xml:space="preserve">   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生活饮用水卫生标准</w:t>
      </w:r>
    </w:p>
    <w:p>
      <w:pPr>
        <w:ind w:left="583"/>
        <w:spacing w:before="234" w:line="21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GB 7718    </w:t>
      </w:r>
      <w:r>
        <w:rPr>
          <w:rFonts w:ascii="FangSong_GB2312" w:hAnsi="FangSong_GB2312" w:eastAsia="FangSong_GB2312" w:cs="FangSong_GB2312"/>
          <w:sz w:val="28"/>
          <w:szCs w:val="28"/>
        </w:rPr>
        <w:t>食品安全国家标准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预包装食品标签通则</w:t>
      </w:r>
    </w:p>
    <w:p>
      <w:pPr>
        <w:ind w:left="583"/>
        <w:spacing w:before="237" w:line="216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GB</w:t>
      </w:r>
      <w:r>
        <w:rPr>
          <w:rFonts w:ascii="Times New Roman" w:hAnsi="Times New Roman" w:eastAsia="Times New Roman" w:cs="Times New Roman"/>
          <w:sz w:val="28"/>
          <w:szCs w:val="28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14881 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食品安全国家标准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食品生产通用卫生规范</w:t>
      </w:r>
    </w:p>
    <w:p>
      <w:pPr>
        <w:ind w:left="579"/>
        <w:spacing w:before="231" w:line="216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3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、食品安全地方标准</w:t>
      </w:r>
    </w:p>
    <w:p>
      <w:pPr>
        <w:ind w:left="583" w:right="348" w:firstLine="9"/>
        <w:spacing w:before="231" w:line="370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湖南省《食品安全地方标准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铁皮石斛》（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DBS43/013-2022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）</w:t>
      </w:r>
      <w:r>
        <w:rPr>
          <w:rFonts w:ascii="FangSong_GB2312" w:hAnsi="FangSong_GB2312" w:eastAsia="FangSong_GB2312" w:cs="FangSong_GB2312"/>
          <w:sz w:val="28"/>
          <w:szCs w:val="28"/>
          <w:spacing w:val="1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广东省《食品安全地方标准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铁皮石斛》（</w:t>
      </w:r>
      <w:r>
        <w:rPr>
          <w:rFonts w:ascii="Times New Roman" w:hAnsi="Times New Roman" w:eastAsia="Times New Roman" w:cs="Times New Roman"/>
          <w:sz w:val="28"/>
          <w:szCs w:val="28"/>
        </w:rPr>
        <w:t>DBS44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/023-2024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）</w:t>
      </w:r>
    </w:p>
    <w:p>
      <w:pPr>
        <w:ind w:left="14" w:right="38" w:firstLine="568"/>
        <w:spacing w:before="1" w:line="369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广西壮族自治区《食品安全地方标准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铁皮石斛茎（干制品）》</w:t>
      </w:r>
      <w:r>
        <w:rPr>
          <w:rFonts w:ascii="FangSong_GB2312" w:hAnsi="FangSong_GB2312" w:eastAsia="FangSong_GB2312" w:cs="FangSong_GB2312"/>
          <w:sz w:val="28"/>
          <w:szCs w:val="28"/>
          <w:spacing w:val="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z w:val="28"/>
          <w:szCs w:val="28"/>
        </w:rPr>
        <w:t>DBS45/071-2021</w:t>
      </w:r>
      <w:r>
        <w:rPr>
          <w:rFonts w:ascii="FangSong_GB2312" w:hAnsi="FangSong_GB2312" w:eastAsia="FangSong_GB2312" w:cs="FangSong_GB2312"/>
          <w:sz w:val="28"/>
          <w:szCs w:val="28"/>
        </w:rPr>
        <w:t>）</w:t>
      </w:r>
    </w:p>
    <w:p>
      <w:pPr>
        <w:spacing w:before="2" w:line="214" w:lineRule="auto"/>
        <w:jc w:val="right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贵州省《食品安全地方标准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铁皮石斛茎》（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DBS52/ 048-2020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）</w:t>
      </w:r>
    </w:p>
    <w:p>
      <w:pPr>
        <w:ind w:left="595"/>
        <w:spacing w:before="233" w:line="215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云南省《食品安全地方标准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铁皮石斛》（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DBS53/035-2022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）</w:t>
      </w:r>
    </w:p>
    <w:p>
      <w:pPr>
        <w:ind w:left="584"/>
        <w:spacing w:before="234" w:line="216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1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spacing w:val="-3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1"/>
        </w:rPr>
        <w:t>、其他</w:t>
      </w:r>
    </w:p>
    <w:p>
      <w:pPr>
        <w:ind w:left="573"/>
        <w:spacing w:before="233" w:line="21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《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ISO 21370:2019</w:t>
      </w:r>
      <w:r>
        <w:rPr>
          <w:rFonts w:ascii="Times New Roman" w:hAnsi="Times New Roman" w:eastAsia="Times New Roman" w:cs="Times New Roman"/>
          <w:sz w:val="28"/>
          <w:szCs w:val="28"/>
          <w:spacing w:val="4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中医药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—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铁皮石斛》</w:t>
      </w:r>
    </w:p>
    <w:p>
      <w:pPr>
        <w:ind w:left="573" w:right="969"/>
        <w:spacing w:before="233" w:line="369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《地理标志产品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雅长铁皮石斛》（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DB45/T</w:t>
      </w:r>
      <w:r>
        <w:rPr>
          <w:rFonts w:ascii="Times New Roman" w:hAnsi="Times New Roman" w:eastAsia="Times New Roman" w:cs="Times New Roman"/>
          <w:sz w:val="28"/>
          <w:szCs w:val="28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1231-201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5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）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《地理标志产品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泰宁铁皮石斛》（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DB35/T</w:t>
      </w:r>
      <w:r>
        <w:rPr>
          <w:rFonts w:ascii="Times New Roman" w:hAnsi="Times New Roman" w:eastAsia="Times New Roman" w:cs="Times New Roman"/>
          <w:sz w:val="28"/>
          <w:szCs w:val="28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1707-201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7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）</w:t>
      </w:r>
    </w:p>
    <w:p>
      <w:pPr>
        <w:spacing w:line="369" w:lineRule="auto"/>
        <w:sectPr>
          <w:footerReference w:type="default" r:id="rId16"/>
          <w:pgSz w:w="11906" w:h="16839"/>
          <w:pgMar w:top="400" w:right="1761" w:bottom="1362" w:left="1785" w:header="0" w:footer="1200" w:gutter="0"/>
        </w:sectPr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29" w:right="29" w:firstLine="569"/>
        <w:spacing w:before="91" w:line="369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江西绿色生态品牌建设促进会团体标准《江西绿</w:t>
      </w:r>
      <w:r>
        <w:rPr>
          <w:rFonts w:ascii="FangSong_GB2312" w:hAnsi="FangSong_GB2312" w:eastAsia="FangSong_GB2312" w:cs="FangSong_GB2312"/>
          <w:sz w:val="28"/>
          <w:szCs w:val="28"/>
        </w:rPr>
        <w:t>色生态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铁皮石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斛》（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T/JGE 0012-2021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）</w:t>
      </w:r>
    </w:p>
    <w:p>
      <w:pPr>
        <w:ind w:left="573"/>
        <w:spacing w:line="21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</w:rPr>
        <w:t>《中华人民共和国药典》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z w:val="28"/>
          <w:szCs w:val="28"/>
        </w:rPr>
        <w:t>2020 </w:t>
      </w:r>
      <w:r>
        <w:rPr>
          <w:rFonts w:ascii="FangSong_GB2312" w:hAnsi="FangSong_GB2312" w:eastAsia="FangSong_GB2312" w:cs="FangSong_GB2312"/>
          <w:sz w:val="28"/>
          <w:szCs w:val="28"/>
        </w:rPr>
        <w:t>年版）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一部</w:t>
      </w:r>
    </w:p>
    <w:p>
      <w:pPr>
        <w:ind w:left="33" w:right="29" w:firstLine="540"/>
        <w:spacing w:before="237" w:line="368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5"/>
        </w:rPr>
        <w:t>《关于对党参等</w:t>
      </w:r>
      <w:r>
        <w:rPr>
          <w:rFonts w:ascii="FangSong_GB2312" w:hAnsi="FangSong_GB2312" w:eastAsia="FangSong_GB2312" w:cs="FangSong_GB2312"/>
          <w:sz w:val="28"/>
          <w:szCs w:val="28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5"/>
        </w:rPr>
        <w:t>9</w:t>
      </w:r>
      <w:r>
        <w:rPr>
          <w:rFonts w:ascii="Times New Roman" w:hAnsi="Times New Roman" w:eastAsia="Times New Roman" w:cs="Times New Roman"/>
          <w:sz w:val="28"/>
          <w:szCs w:val="28"/>
          <w:spacing w:val="21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5"/>
        </w:rPr>
        <w:t>种物质开展按照传统既是食品又是中药材的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物质管理试点工作的通知》（国卫食品函〔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2019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〕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311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号）</w:t>
      </w:r>
    </w:p>
    <w:p>
      <w:pPr>
        <w:ind w:left="33" w:right="29" w:firstLine="540"/>
        <w:spacing w:before="1" w:line="371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5"/>
        </w:rPr>
        <w:t>《关于党参等</w:t>
      </w:r>
      <w:r>
        <w:rPr>
          <w:rFonts w:ascii="FangSong_GB2312" w:hAnsi="FangSong_GB2312" w:eastAsia="FangSong_GB2312" w:cs="FangSong_GB2312"/>
          <w:sz w:val="28"/>
          <w:szCs w:val="28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5"/>
        </w:rPr>
        <w:t>9</w:t>
      </w:r>
      <w:r>
        <w:rPr>
          <w:rFonts w:ascii="Times New Roman" w:hAnsi="Times New Roman" w:eastAsia="Times New Roman" w:cs="Times New Roman"/>
          <w:sz w:val="28"/>
          <w:szCs w:val="28"/>
          <w:spacing w:val="23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5"/>
        </w:rPr>
        <w:t>种新增按照传统既是食品又是中药材的物质公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告》（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2023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年第</w:t>
      </w:r>
      <w:r>
        <w:rPr>
          <w:rFonts w:ascii="FangSong_GB2312" w:hAnsi="FangSong_GB2312" w:eastAsia="FangSong_GB2312" w:cs="FangSong_GB2312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9</w:t>
      </w:r>
      <w:r>
        <w:rPr>
          <w:rFonts w:ascii="Times New Roman" w:hAnsi="Times New Roman" w:eastAsia="Times New Roman" w:cs="Times New Roman"/>
          <w:sz w:val="28"/>
          <w:szCs w:val="28"/>
          <w:spacing w:val="2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号）。</w:t>
      </w:r>
    </w:p>
    <w:p>
      <w:pPr>
        <w:ind w:left="30"/>
        <w:spacing w:before="150" w:line="222" w:lineRule="auto"/>
        <w:outlineLvl w:val="0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2"/>
        </w:rPr>
        <w:t>三、标准的制定原则</w:t>
      </w:r>
    </w:p>
    <w:p>
      <w:pPr>
        <w:pStyle w:val="BodyText"/>
        <w:spacing w:line="286" w:lineRule="auto"/>
        <w:rPr/>
      </w:pPr>
      <w:r/>
    </w:p>
    <w:p>
      <w:pPr>
        <w:ind w:left="573"/>
        <w:spacing w:before="92" w:line="217" w:lineRule="auto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</w:rPr>
        <w:t>（一）以保护消费者健康为首要原则。</w:t>
      </w:r>
    </w:p>
    <w:p>
      <w:pPr>
        <w:ind w:left="573"/>
        <w:spacing w:before="232" w:line="216" w:lineRule="auto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</w:rPr>
        <w:t>（二）科学性原则。</w:t>
      </w:r>
    </w:p>
    <w:p>
      <w:pPr>
        <w:ind w:left="573"/>
        <w:spacing w:before="231" w:line="215" w:lineRule="auto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-4"/>
        </w:rPr>
        <w:t>（</w:t>
      </w:r>
      <w:r>
        <w:rPr>
          <w:rFonts w:ascii="KaiTi" w:hAnsi="KaiTi" w:eastAsia="KaiTi" w:cs="KaiTi"/>
          <w:sz w:val="28"/>
          <w:szCs w:val="28"/>
          <w:spacing w:val="-68"/>
        </w:rPr>
        <w:t xml:space="preserve"> </w:t>
      </w:r>
      <w:r>
        <w:rPr>
          <w:rFonts w:ascii="KaiTi" w:hAnsi="KaiTi" w:eastAsia="KaiTi" w:cs="KaiTi"/>
          <w:sz w:val="28"/>
          <w:szCs w:val="28"/>
          <w:spacing w:val="-4"/>
        </w:rPr>
        <w:t>三）促进铁皮石斛产业健康发展原则。</w:t>
      </w:r>
    </w:p>
    <w:p>
      <w:pPr>
        <w:ind w:left="573"/>
        <w:spacing w:before="233" w:line="215" w:lineRule="auto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-8"/>
        </w:rPr>
        <w:t>（</w:t>
      </w:r>
      <w:r>
        <w:rPr>
          <w:rFonts w:ascii="KaiTi" w:hAnsi="KaiTi" w:eastAsia="KaiTi" w:cs="KaiTi"/>
          <w:sz w:val="28"/>
          <w:szCs w:val="28"/>
          <w:spacing w:val="-62"/>
        </w:rPr>
        <w:t xml:space="preserve"> </w:t>
      </w:r>
      <w:r>
        <w:rPr>
          <w:rFonts w:ascii="KaiTi" w:hAnsi="KaiTi" w:eastAsia="KaiTi" w:cs="KaiTi"/>
          <w:sz w:val="28"/>
          <w:szCs w:val="28"/>
          <w:spacing w:val="-8"/>
        </w:rPr>
        <w:t>四）可操作性原则。</w:t>
      </w:r>
    </w:p>
    <w:p>
      <w:pPr>
        <w:ind w:left="573"/>
        <w:spacing w:before="236" w:line="218" w:lineRule="auto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-1"/>
        </w:rPr>
        <w:t>（五）公开透明原则。</w:t>
      </w:r>
    </w:p>
    <w:p>
      <w:pPr>
        <w:pStyle w:val="BodyText"/>
        <w:spacing w:line="291" w:lineRule="auto"/>
        <w:rPr/>
      </w:pPr>
      <w:r/>
    </w:p>
    <w:p>
      <w:pPr>
        <w:ind w:left="41"/>
        <w:spacing w:before="91" w:line="222" w:lineRule="auto"/>
        <w:outlineLvl w:val="0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3"/>
        </w:rPr>
        <w:t>四、确定各项技术内容的依据</w:t>
      </w:r>
    </w:p>
    <w:p>
      <w:pPr>
        <w:pStyle w:val="BodyText"/>
        <w:spacing w:line="284" w:lineRule="auto"/>
        <w:rPr/>
      </w:pPr>
      <w:r/>
    </w:p>
    <w:p>
      <w:pPr>
        <w:ind w:left="46"/>
        <w:spacing w:before="92" w:line="229" w:lineRule="auto"/>
        <w:outlineLvl w:val="1"/>
        <w:rPr>
          <w:rFonts w:ascii="KaiTi" w:hAnsi="KaiTi" w:eastAsia="KaiTi" w:cs="KaiTi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1.</w:t>
      </w:r>
      <w:r>
        <w:rPr>
          <w:rFonts w:ascii="KaiTi" w:hAnsi="KaiTi" w:eastAsia="KaiTi" w:cs="KaiTi"/>
          <w:sz w:val="28"/>
          <w:szCs w:val="28"/>
          <w:spacing w:val="-6"/>
        </w:rPr>
        <w:t>适用范围</w:t>
      </w:r>
    </w:p>
    <w:p>
      <w:pPr>
        <w:ind w:left="584"/>
        <w:spacing w:before="216" w:line="214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本文件适用于人工栽培的铁皮石斛茎。</w:t>
      </w:r>
    </w:p>
    <w:p>
      <w:pPr>
        <w:ind w:right="27"/>
        <w:spacing w:before="235" w:line="214" w:lineRule="auto"/>
        <w:outlineLvl w:val="1"/>
        <w:jc w:val="right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按照国家卫生健康委发布的《关于党参等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9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种新增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按照传统既是</w:t>
      </w:r>
    </w:p>
    <w:p>
      <w:pPr>
        <w:ind w:left="22" w:right="29" w:firstLine="6"/>
        <w:spacing w:before="235" w:line="369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食品又是中药材的物质公告》中的规定，将本标准范围限定为：人工</w:t>
      </w:r>
      <w:r>
        <w:rPr>
          <w:rFonts w:ascii="FangSong_GB2312" w:hAnsi="FangSong_GB2312" w:eastAsia="FangSong_GB2312" w:cs="FangSong_GB2312"/>
          <w:sz w:val="28"/>
          <w:szCs w:val="28"/>
          <w:spacing w:val="1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栽培的铁皮石斛茎。</w:t>
      </w:r>
    </w:p>
    <w:p>
      <w:pPr>
        <w:ind w:left="20"/>
        <w:spacing w:before="1" w:line="230" w:lineRule="auto"/>
        <w:outlineLvl w:val="1"/>
        <w:rPr>
          <w:rFonts w:ascii="KaiTi" w:hAnsi="KaiTi" w:eastAsia="KaiTi" w:cs="KaiTi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2.</w:t>
      </w:r>
      <w:r>
        <w:rPr>
          <w:rFonts w:ascii="KaiTi" w:hAnsi="KaiTi" w:eastAsia="KaiTi" w:cs="KaiTi"/>
          <w:sz w:val="28"/>
          <w:szCs w:val="28"/>
          <w:spacing w:val="-1"/>
        </w:rPr>
        <w:t>术语和定义</w:t>
      </w:r>
    </w:p>
    <w:p>
      <w:pPr>
        <w:ind w:left="579"/>
        <w:spacing w:before="210" w:line="215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2.1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铁皮石斛茎</w:t>
      </w:r>
    </w:p>
    <w:p>
      <w:pPr>
        <w:ind w:right="29"/>
        <w:spacing w:before="186" w:line="373" w:lineRule="exact"/>
        <w:outlineLvl w:val="1"/>
        <w:jc w:val="right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7"/>
          <w:position w:val="2"/>
        </w:rPr>
        <w:t>以兰科植物铁皮石斛</w:t>
      </w:r>
      <w:r>
        <w:rPr>
          <w:rFonts w:ascii="FangSong_GB2312" w:hAnsi="FangSong_GB2312" w:eastAsia="FangSong_GB2312" w:cs="FangSong_GB2312"/>
          <w:sz w:val="28"/>
          <w:szCs w:val="28"/>
          <w:spacing w:val="-72"/>
          <w:position w:val="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i/>
          <w:iCs/>
          <w:position w:val="2"/>
        </w:rPr>
        <w:t>Dendrobium</w:t>
      </w:r>
      <w:r>
        <w:rPr>
          <w:rFonts w:ascii="Times New Roman" w:hAnsi="Times New Roman" w:eastAsia="Times New Roman" w:cs="Times New Roman"/>
          <w:sz w:val="28"/>
          <w:szCs w:val="28"/>
          <w:i/>
          <w:iCs/>
          <w:spacing w:val="7"/>
          <w:position w:val="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i/>
          <w:iCs/>
          <w:position w:val="2"/>
        </w:rPr>
        <w:t>o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i/>
          <w:iCs/>
          <w:position w:val="2"/>
        </w:rPr>
        <w:t>f</w:t>
      </w:r>
      <w:r>
        <w:rPr>
          <w:rFonts w:ascii="Times New Roman" w:hAnsi="Times New Roman" w:eastAsia="Times New Roman" w:cs="Times New Roman"/>
          <w:sz w:val="28"/>
          <w:szCs w:val="28"/>
          <w:i/>
          <w:iCs/>
          <w:position w:val="2"/>
        </w:rPr>
        <w:t>icinale</w:t>
      </w:r>
      <w:r>
        <w:rPr>
          <w:rFonts w:ascii="Times New Roman" w:hAnsi="Times New Roman" w:eastAsia="Times New Roman" w:cs="Times New Roman"/>
          <w:sz w:val="28"/>
          <w:szCs w:val="28"/>
          <w:i/>
          <w:iCs/>
          <w:spacing w:val="7"/>
          <w:position w:val="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position w:val="2"/>
        </w:rPr>
        <w:t>Kimura</w:t>
      </w:r>
      <w:r>
        <w:rPr>
          <w:rFonts w:ascii="Times New Roman" w:hAnsi="Times New Roman" w:eastAsia="Times New Roman" w:cs="Times New Roman"/>
          <w:sz w:val="28"/>
          <w:szCs w:val="28"/>
          <w:spacing w:val="7"/>
          <w:position w:val="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position w:val="2"/>
        </w:rPr>
        <w:t>et</w:t>
      </w:r>
      <w:r>
        <w:rPr>
          <w:rFonts w:ascii="Times New Roman" w:hAnsi="Times New Roman" w:eastAsia="Times New Roman" w:cs="Times New Roman"/>
          <w:sz w:val="28"/>
          <w:szCs w:val="28"/>
          <w:spacing w:val="7"/>
          <w:position w:val="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position w:val="2"/>
        </w:rPr>
        <w:t>Migo</w:t>
      </w:r>
      <w:r>
        <w:rPr>
          <w:rFonts w:ascii="Times New Roman" w:hAnsi="Times New Roman" w:eastAsia="Times New Roman" w:cs="Times New Roman"/>
          <w:sz w:val="28"/>
          <w:szCs w:val="28"/>
          <w:spacing w:val="19"/>
          <w:position w:val="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7"/>
          <w:position w:val="2"/>
        </w:rPr>
        <w:t>鲜品</w:t>
      </w:r>
    </w:p>
    <w:p>
      <w:pPr>
        <w:spacing w:before="236" w:line="214" w:lineRule="auto"/>
        <w:jc w:val="right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为原料，通过去杂、去叶、除根、淘洗、干燥或不干燥等工序制成，</w:t>
      </w:r>
    </w:p>
    <w:p>
      <w:pPr>
        <w:spacing w:line="214" w:lineRule="auto"/>
        <w:sectPr>
          <w:footerReference w:type="default" r:id="rId17"/>
          <w:pgSz w:w="11906" w:h="16839"/>
          <w:pgMar w:top="400" w:right="1770" w:bottom="1360" w:left="1785" w:header="0" w:footer="1200" w:gutter="0"/>
        </w:sectPr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19"/>
        <w:spacing w:before="91" w:line="21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供直接食用或作食品加工原料。</w:t>
      </w:r>
    </w:p>
    <w:p>
      <w:pPr>
        <w:ind w:left="25"/>
        <w:spacing w:before="232" w:line="229" w:lineRule="auto"/>
        <w:outlineLvl w:val="1"/>
        <w:rPr>
          <w:rFonts w:ascii="KaiTi" w:hAnsi="KaiTi" w:eastAsia="KaiTi" w:cs="KaiTi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3.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 xml:space="preserve">  </w:t>
      </w:r>
      <w:r>
        <w:rPr>
          <w:rFonts w:ascii="KaiTi" w:hAnsi="KaiTi" w:eastAsia="KaiTi" w:cs="KaiTi"/>
          <w:sz w:val="28"/>
          <w:szCs w:val="28"/>
          <w:spacing w:val="-4"/>
        </w:rPr>
        <w:t>技术要求</w:t>
      </w:r>
    </w:p>
    <w:p>
      <w:pPr>
        <w:ind w:left="33" w:right="87" w:firstLine="556"/>
        <w:spacing w:before="213" w:line="294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对原料、感官要求、理化指标、污染物及农药残留限量等作出了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规定。</w:t>
      </w:r>
    </w:p>
    <w:p>
      <w:pPr>
        <w:ind w:left="584"/>
        <w:spacing w:before="229" w:line="214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3.1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原料要求</w:t>
      </w:r>
    </w:p>
    <w:p>
      <w:pPr>
        <w:ind w:left="584"/>
        <w:spacing w:before="234" w:line="214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3.1.1 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铁皮石斛鲜品应具有其特有的形态特征及固有的色、香、</w:t>
      </w:r>
    </w:p>
    <w:p>
      <w:pPr>
        <w:ind w:left="31" w:right="87" w:firstLine="8"/>
        <w:spacing w:before="236" w:line="369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味，新鲜、无腐烂、无霉变、无虫蛀、无异味，符合相应的食品标准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和有关规定。</w:t>
      </w:r>
    </w:p>
    <w:p>
      <w:pPr>
        <w:ind w:left="584"/>
        <w:spacing w:before="1" w:line="216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3.1.2 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生产加工用水应符合</w:t>
      </w:r>
      <w:r>
        <w:rPr>
          <w:rFonts w:ascii="FangSong_GB2312" w:hAnsi="FangSong_GB2312" w:eastAsia="FangSong_GB2312" w:cs="FangSong_GB2312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GB 5749</w:t>
      </w:r>
      <w:r>
        <w:rPr>
          <w:rFonts w:ascii="Times New Roman" w:hAnsi="Times New Roman" w:eastAsia="Times New Roman" w:cs="Times New Roman"/>
          <w:sz w:val="28"/>
          <w:szCs w:val="28"/>
          <w:spacing w:val="3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的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规定。</w:t>
      </w:r>
    </w:p>
    <w:p>
      <w:pPr>
        <w:ind w:right="18"/>
        <w:spacing w:before="234" w:line="213" w:lineRule="auto"/>
        <w:outlineLvl w:val="1"/>
        <w:jc w:val="right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贵州</w:t>
      </w:r>
      <w:r>
        <w:rPr>
          <w:rFonts w:ascii="Times New Roman" w:hAnsi="Times New Roman" w:eastAsia="Times New Roman" w:cs="Times New Roman"/>
          <w:sz w:val="28"/>
          <w:szCs w:val="28"/>
        </w:rPr>
        <w:t>DBS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52/ 048 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对原料要求是：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“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铁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皮石斛应无虫蛀、无霉变，</w:t>
      </w:r>
    </w:p>
    <w:p>
      <w:pPr>
        <w:ind w:left="23" w:right="87" w:firstLine="9"/>
        <w:spacing w:before="235" w:line="36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具有铁皮石斛鲜品特有的自然品质特征及相应的色泽和气味。生产用</w:t>
      </w:r>
      <w:r>
        <w:rPr>
          <w:rFonts w:ascii="FangSong_GB2312" w:hAnsi="FangSong_GB2312" w:eastAsia="FangSong_GB2312" w:cs="FangSong_GB2312"/>
          <w:sz w:val="28"/>
          <w:szCs w:val="28"/>
          <w:spacing w:val="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水应符合</w:t>
      </w:r>
      <w:r>
        <w:rPr>
          <w:rFonts w:ascii="FangSong_GB2312" w:hAnsi="FangSong_GB2312" w:eastAsia="FangSong_GB2312" w:cs="FangSong_GB2312"/>
          <w:sz w:val="28"/>
          <w:szCs w:val="28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GB 5749</w:t>
      </w:r>
      <w:r>
        <w:rPr>
          <w:rFonts w:ascii="Times New Roman" w:hAnsi="Times New Roman" w:eastAsia="Times New Roman" w:cs="Times New Roman"/>
          <w:sz w:val="28"/>
          <w:szCs w:val="28"/>
          <w:spacing w:val="36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的规定。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”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，云南</w:t>
      </w:r>
      <w:r>
        <w:rPr>
          <w:rFonts w:ascii="FangSong_GB2312" w:hAnsi="FangSong_GB2312" w:eastAsia="FangSong_GB2312" w:cs="FangSong_GB2312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DBS 53/027</w:t>
      </w:r>
      <w:r>
        <w:rPr>
          <w:rFonts w:ascii="Times New Roman" w:hAnsi="Times New Roman" w:eastAsia="Times New Roman" w:cs="Times New Roman"/>
          <w:sz w:val="28"/>
          <w:szCs w:val="28"/>
          <w:spacing w:val="2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规定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“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紫皮石斛：应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无霉变、无发芽、无虫蛀、无污染。生产加工用水：应符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合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GB 5749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的规定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”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。</w:t>
      </w:r>
    </w:p>
    <w:p>
      <w:pPr>
        <w:ind w:left="18"/>
        <w:spacing w:before="1" w:line="223" w:lineRule="auto"/>
        <w:outlineLvl w:val="1"/>
        <w:rPr>
          <w:rFonts w:ascii="KaiTi" w:hAnsi="KaiTi" w:eastAsia="KaiTi" w:cs="KaiTi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4.</w:t>
      </w:r>
      <w:r>
        <w:rPr>
          <w:rFonts w:ascii="Times New Roman" w:hAnsi="Times New Roman" w:eastAsia="Times New Roman" w:cs="Times New Roman"/>
          <w:sz w:val="28"/>
          <w:szCs w:val="28"/>
          <w:spacing w:val="45"/>
        </w:rPr>
        <w:t xml:space="preserve"> </w:t>
      </w:r>
      <w:r>
        <w:rPr>
          <w:rFonts w:ascii="KaiTi" w:hAnsi="KaiTi" w:eastAsia="KaiTi" w:cs="KaiTi"/>
          <w:sz w:val="28"/>
          <w:szCs w:val="28"/>
          <w:spacing w:val="-3"/>
        </w:rPr>
        <w:t>感官要求</w:t>
      </w:r>
    </w:p>
    <w:p>
      <w:pPr>
        <w:spacing w:before="224" w:line="214" w:lineRule="auto"/>
        <w:outlineLvl w:val="2"/>
        <w:jc w:val="right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规定了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“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色泽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”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、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“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滋味、气味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”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和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“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状态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”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，即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“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表面灰</w:t>
      </w:r>
      <w:r>
        <w:rPr>
          <w:rFonts w:ascii="FangSong_GB2312" w:hAnsi="FangSong_GB2312" w:eastAsia="FangSong_GB2312" w:cs="FangSong_GB2312"/>
          <w:sz w:val="28"/>
          <w:szCs w:val="28"/>
          <w:spacing w:val="-11"/>
        </w:rPr>
        <w:t>绿色，黄绿色、</w:t>
      </w:r>
    </w:p>
    <w:p>
      <w:pPr>
        <w:ind w:left="31" w:right="57" w:firstLine="3"/>
        <w:spacing w:before="234" w:line="368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紫红色或略带金黄色；气微，味淡，咀嚼之有黏性；外有纵向条纹，</w:t>
      </w:r>
      <w:r>
        <w:rPr>
          <w:rFonts w:ascii="FangSong_GB2312" w:hAnsi="FangSong_GB2312" w:eastAsia="FangSong_GB2312" w:cs="FangSong_GB2312"/>
          <w:sz w:val="28"/>
          <w:szCs w:val="28"/>
          <w:spacing w:val="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有时可见残留的灰色叶鞘，无正常视力可见的外来异物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”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。</w:t>
      </w:r>
    </w:p>
    <w:p>
      <w:pPr>
        <w:ind w:left="33" w:right="84" w:firstLine="560"/>
        <w:spacing w:before="6" w:line="291" w:lineRule="auto"/>
        <w:outlineLvl w:val="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感官检验方法规定为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“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取适量样品置于洁净白色瓷盘中，在自然</w:t>
      </w:r>
      <w:r>
        <w:rPr>
          <w:rFonts w:ascii="FangSong_GB2312" w:hAnsi="FangSong_GB2312" w:eastAsia="FangSong_GB2312" w:cs="FangSong_GB2312"/>
          <w:sz w:val="28"/>
          <w:szCs w:val="28"/>
          <w:spacing w:val="1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光线下采用鼻嗅、</w:t>
      </w:r>
      <w:r>
        <w:rPr>
          <w:rFonts w:ascii="FangSong_GB2312" w:hAnsi="FangSong_GB2312" w:eastAsia="FangSong_GB2312" w:cs="FangSong_GB2312"/>
          <w:sz w:val="28"/>
          <w:szCs w:val="28"/>
          <w:spacing w:val="-7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目测、</w:t>
      </w:r>
      <w:r>
        <w:rPr>
          <w:rFonts w:ascii="FangSong_GB2312" w:hAnsi="FangSong_GB2312" w:eastAsia="FangSong_GB2312" w:cs="FangSong_GB2312"/>
          <w:sz w:val="28"/>
          <w:szCs w:val="28"/>
          <w:spacing w:val="-8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口尝的方法进行检验。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”</w:t>
      </w:r>
    </w:p>
    <w:p>
      <w:pPr>
        <w:ind w:left="580"/>
        <w:spacing w:before="234" w:line="215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ISO 21370</w:t>
      </w:r>
      <w:r>
        <w:rPr>
          <w:rFonts w:ascii="Times New Roman" w:hAnsi="Times New Roman" w:eastAsia="Times New Roman" w:cs="Times New Roman"/>
          <w:sz w:val="28"/>
          <w:szCs w:val="28"/>
          <w:spacing w:val="2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规定铁皮石斛干条的感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官要求是：“</w:t>
      </w:r>
      <w:r>
        <w:rPr>
          <w:rFonts w:ascii="FangSong_GB2312" w:hAnsi="FangSong_GB2312" w:eastAsia="FangSong_GB2312" w:cs="FangSong_GB2312"/>
          <w:sz w:val="28"/>
          <w:szCs w:val="28"/>
          <w:spacing w:val="-10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圆柱形，长度不</w:t>
      </w:r>
    </w:p>
    <w:p>
      <w:pPr>
        <w:ind w:left="29" w:right="86" w:firstLine="8"/>
        <w:spacing w:before="238" w:line="368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等。表面灰绿色，黄绿色或金黄色，有纵向条纹，有时可见残留的灰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色叶鞘。气微、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味淡，咀嚼之有粘性。”，对枫斗的感官要求是：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“呈螺旋形或弹簧状，通常有两到六个旋纹。质地致密，易折断，断</w:t>
      </w:r>
    </w:p>
    <w:p>
      <w:pPr>
        <w:spacing w:line="368" w:lineRule="auto"/>
        <w:sectPr>
          <w:footerReference w:type="default" r:id="rId18"/>
          <w:pgSz w:w="11906" w:h="16839"/>
          <w:pgMar w:top="400" w:right="1712" w:bottom="1362" w:left="1785" w:header="0" w:footer="1200" w:gutter="0"/>
        </w:sectPr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434" w:right="396" w:hanging="14"/>
        <w:spacing w:before="91" w:line="368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面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 xml:space="preserve"> 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平坦，灰白色至灰绿色。表面黄绿色或金黄色，有纵向条纹，有</w:t>
      </w:r>
      <w:r>
        <w:rPr>
          <w:rFonts w:ascii="FangSong_GB2312" w:hAnsi="FangSong_GB2312" w:eastAsia="FangSong_GB2312" w:cs="FangSong_GB2312"/>
          <w:sz w:val="28"/>
          <w:szCs w:val="28"/>
          <w:spacing w:val="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时可见残留的灰色叶鞘。气微、味淡，咀嚼之有粘性”。</w:t>
      </w:r>
    </w:p>
    <w:p>
      <w:pPr>
        <w:ind w:left="410"/>
        <w:spacing w:line="230" w:lineRule="auto"/>
        <w:outlineLvl w:val="1"/>
        <w:rPr>
          <w:rFonts w:ascii="KaiTi" w:hAnsi="KaiTi" w:eastAsia="KaiTi" w:cs="KaiTi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5.</w:t>
      </w:r>
      <w:r>
        <w:rPr>
          <w:rFonts w:ascii="Times New Roman" w:hAnsi="Times New Roman" w:eastAsia="Times New Roman" w:cs="Times New Roman"/>
          <w:sz w:val="28"/>
          <w:szCs w:val="28"/>
          <w:spacing w:val="42"/>
        </w:rPr>
        <w:t xml:space="preserve"> </w:t>
      </w:r>
      <w:r>
        <w:rPr>
          <w:rFonts w:ascii="KaiTi" w:hAnsi="KaiTi" w:eastAsia="KaiTi" w:cs="KaiTi"/>
          <w:sz w:val="28"/>
          <w:szCs w:val="28"/>
          <w:spacing w:val="-4"/>
        </w:rPr>
        <w:t>理化指标</w:t>
      </w:r>
    </w:p>
    <w:p>
      <w:pPr>
        <w:ind w:left="969"/>
        <w:spacing w:before="213" w:line="218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5.1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水分</w:t>
      </w:r>
    </w:p>
    <w:p>
      <w:pPr>
        <w:ind w:left="413" w:right="396" w:firstLine="587"/>
        <w:spacing w:before="229" w:line="36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因水分属于间接导致食品安全风险的指标，参照《中华人民共和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国药典》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2020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年版）等相关产品标准，综合产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品检测结果，本标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准规定：水分</w:t>
      </w:r>
      <w:r>
        <w:rPr>
          <w:rFonts w:ascii="FangSong_GB2312" w:hAnsi="FangSong_GB2312" w:eastAsia="FangSong_GB2312" w:cs="FangSong_GB2312"/>
          <w:sz w:val="28"/>
          <w:szCs w:val="28"/>
          <w:spacing w:val="-51"/>
        </w:rPr>
        <w:t>，（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g/100g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）</w:t>
      </w:r>
      <w:r>
        <w:rPr>
          <w:rFonts w:ascii="FangSong_GB2312" w:hAnsi="FangSong_GB2312" w:eastAsia="FangSong_GB2312" w:cs="FangSong_GB2312"/>
          <w:sz w:val="28"/>
          <w:szCs w:val="28"/>
          <w:spacing w:val="-6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≤</w:t>
      </w:r>
      <w:r>
        <w:rPr>
          <w:rFonts w:ascii="FangSong_GB2312" w:hAnsi="FangSong_GB2312" w:eastAsia="FangSong_GB2312" w:cs="FangSong_GB2312"/>
          <w:sz w:val="28"/>
          <w:szCs w:val="28"/>
          <w:spacing w:val="-11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12.0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。</w:t>
      </w:r>
    </w:p>
    <w:p>
      <w:pPr>
        <w:ind w:left="414" w:right="395" w:firstLine="554"/>
        <w:spacing w:before="2" w:line="291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企业提供检测结果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327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件水分检测数据，水分在</w:t>
      </w:r>
      <w:r>
        <w:rPr>
          <w:rFonts w:ascii="FangSong_GB2312" w:hAnsi="FangSong_GB2312" w:eastAsia="FangSong_GB2312" w:cs="FangSong_GB2312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0.82%-1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1.46%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之间，均值为</w:t>
      </w:r>
      <w:r>
        <w:rPr>
          <w:rFonts w:ascii="FangSong_GB2312" w:hAnsi="FangSong_GB2312" w:eastAsia="FangSong_GB2312" w:cs="FangSong_GB2312"/>
          <w:sz w:val="28"/>
          <w:szCs w:val="28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4.75%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。详见表</w:t>
      </w:r>
      <w:r>
        <w:rPr>
          <w:rFonts w:ascii="FangSong_GB2312" w:hAnsi="FangSong_GB2312" w:eastAsia="FangSong_GB2312" w:cs="FangSong_GB2312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。</w:t>
      </w:r>
    </w:p>
    <w:p>
      <w:pPr>
        <w:ind w:left="3428"/>
        <w:spacing w:before="135" w:line="227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5"/>
        </w:rPr>
        <w:t>表</w:t>
      </w:r>
      <w:r>
        <w:rPr>
          <w:rFonts w:ascii="SimSun" w:hAnsi="SimSun" w:eastAsia="SimSun" w:cs="SimSun"/>
          <w:sz w:val="20"/>
          <w:szCs w:val="20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5"/>
        </w:rPr>
        <w:t>1    </w:t>
      </w:r>
      <w:r>
        <w:rPr>
          <w:rFonts w:ascii="SimSun" w:hAnsi="SimSun" w:eastAsia="SimSun" w:cs="SimSun"/>
          <w:sz w:val="20"/>
          <w:szCs w:val="20"/>
          <w:spacing w:val="5"/>
        </w:rPr>
        <w:t>企业提供水分检测结果</w:t>
      </w:r>
    </w:p>
    <w:p>
      <w:pPr>
        <w:spacing w:line="58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099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780"/>
        <w:gridCol w:w="1035"/>
        <w:gridCol w:w="1193"/>
        <w:gridCol w:w="1188"/>
        <w:gridCol w:w="1190"/>
        <w:gridCol w:w="1267"/>
        <w:gridCol w:w="1446"/>
      </w:tblGrid>
      <w:tr>
        <w:trPr>
          <w:trHeight w:val="400" w:hRule="atLeast"/>
        </w:trPr>
        <w:tc>
          <w:tcPr>
            <w:tcW w:w="178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3"/>
              <w:spacing w:before="96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检测值（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>g/100g</w:t>
            </w:r>
            <w:r>
              <w:rPr>
                <w:sz w:val="20"/>
                <w:szCs w:val="20"/>
                <w:spacing w:val="5"/>
              </w:rPr>
              <w:t>）</w:t>
            </w:r>
          </w:p>
        </w:tc>
        <w:tc>
          <w:tcPr>
            <w:tcW w:w="103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24"/>
              <w:spacing w:before="97" w:line="26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  <w:w w:val="124"/>
                <w:position w:val="1"/>
              </w:rPr>
              <w:t>&lt;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2"/>
                <w:w w:val="124"/>
                <w:position w:val="1"/>
              </w:rPr>
              <w:t>5</w:t>
            </w:r>
          </w:p>
        </w:tc>
        <w:tc>
          <w:tcPr>
            <w:tcW w:w="119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76"/>
              <w:spacing w:before="91" w:line="237" w:lineRule="auto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6"/>
                <w:w w:val="125"/>
              </w:rPr>
              <w:t>5</w:t>
            </w:r>
            <w:r>
              <w:rPr>
                <w:sz w:val="22"/>
                <w:szCs w:val="22"/>
                <w:spacing w:val="16"/>
                <w:w w:val="125"/>
              </w:rPr>
              <w:t>~</w:t>
            </w:r>
          </w:p>
        </w:tc>
        <w:tc>
          <w:tcPr>
            <w:tcW w:w="118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68"/>
              <w:spacing w:before="91" w:line="237" w:lineRule="auto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7"/>
                <w:w w:val="125"/>
              </w:rPr>
              <w:t>7</w:t>
            </w:r>
            <w:r>
              <w:rPr>
                <w:sz w:val="22"/>
                <w:szCs w:val="22"/>
                <w:spacing w:val="17"/>
                <w:w w:val="125"/>
              </w:rPr>
              <w:t>~</w:t>
            </w:r>
          </w:p>
        </w:tc>
        <w:tc>
          <w:tcPr>
            <w:tcW w:w="119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69"/>
              <w:spacing w:before="91" w:line="237" w:lineRule="auto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7"/>
                <w:w w:val="125"/>
              </w:rPr>
              <w:t>9</w:t>
            </w:r>
            <w:r>
              <w:rPr>
                <w:sz w:val="22"/>
                <w:szCs w:val="22"/>
                <w:spacing w:val="17"/>
                <w:w w:val="125"/>
              </w:rPr>
              <w:t>~</w:t>
            </w:r>
          </w:p>
        </w:tc>
        <w:tc>
          <w:tcPr>
            <w:tcW w:w="126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3"/>
              <w:spacing w:before="97" w:line="26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1"/>
              </w:rPr>
              <w:t>10</w:t>
            </w:r>
            <w:r>
              <w:rPr>
                <w:sz w:val="20"/>
                <w:szCs w:val="20"/>
                <w:spacing w:val="1"/>
                <w:position w:val="1"/>
              </w:rPr>
              <w:t>～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1"/>
              </w:rPr>
              <w:t>12</w:t>
            </w:r>
          </w:p>
        </w:tc>
        <w:tc>
          <w:tcPr>
            <w:tcW w:w="144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88"/>
              <w:spacing w:before="97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合计</w:t>
            </w:r>
          </w:p>
        </w:tc>
      </w:tr>
      <w:tr>
        <w:trPr>
          <w:trHeight w:val="385" w:hRule="atLeast"/>
        </w:trPr>
        <w:tc>
          <w:tcPr>
            <w:tcW w:w="1780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22"/>
              <w:spacing w:before="87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7"/>
              </w:rPr>
              <w:t>样品个数</w:t>
            </w:r>
          </w:p>
        </w:tc>
        <w:tc>
          <w:tcPr>
            <w:tcW w:w="1035" w:type="dxa"/>
            <w:vAlign w:val="top"/>
            <w:tcBorders>
              <w:top w:val="single" w:color="000000" w:sz="2" w:space="0"/>
            </w:tcBorders>
          </w:tcPr>
          <w:p>
            <w:pPr>
              <w:ind w:left="205"/>
              <w:spacing w:before="12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205</w:t>
            </w:r>
          </w:p>
        </w:tc>
        <w:tc>
          <w:tcPr>
            <w:tcW w:w="1193" w:type="dxa"/>
            <w:vAlign w:val="top"/>
            <w:tcBorders>
              <w:top w:val="single" w:color="000000" w:sz="2" w:space="0"/>
            </w:tcBorders>
          </w:tcPr>
          <w:p>
            <w:pPr>
              <w:ind w:left="378"/>
              <w:spacing w:before="12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81</w:t>
            </w:r>
          </w:p>
        </w:tc>
        <w:tc>
          <w:tcPr>
            <w:tcW w:w="1188" w:type="dxa"/>
            <w:vAlign w:val="top"/>
            <w:tcBorders>
              <w:top w:val="single" w:color="000000" w:sz="2" w:space="0"/>
            </w:tcBorders>
          </w:tcPr>
          <w:p>
            <w:pPr>
              <w:ind w:left="365"/>
              <w:spacing w:before="12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28</w:t>
            </w:r>
          </w:p>
        </w:tc>
        <w:tc>
          <w:tcPr>
            <w:tcW w:w="1190" w:type="dxa"/>
            <w:vAlign w:val="top"/>
            <w:tcBorders>
              <w:top w:val="single" w:color="000000" w:sz="2" w:space="0"/>
            </w:tcBorders>
          </w:tcPr>
          <w:p>
            <w:pPr>
              <w:ind w:left="368"/>
              <w:spacing w:before="131" w:line="192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1267" w:type="dxa"/>
            <w:vAlign w:val="top"/>
            <w:tcBorders>
              <w:top w:val="single" w:color="000000" w:sz="2" w:space="0"/>
            </w:tcBorders>
          </w:tcPr>
          <w:p>
            <w:pPr>
              <w:ind w:left="367"/>
              <w:spacing w:before="12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1446" w:type="dxa"/>
            <w:vAlign w:val="top"/>
            <w:tcBorders>
              <w:top w:val="single" w:color="000000" w:sz="2" w:space="0"/>
            </w:tcBorders>
          </w:tcPr>
          <w:p>
            <w:pPr>
              <w:ind w:left="288"/>
              <w:spacing w:before="12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327</w:t>
            </w:r>
          </w:p>
        </w:tc>
      </w:tr>
      <w:tr>
        <w:trPr>
          <w:trHeight w:val="388" w:hRule="atLeast"/>
        </w:trPr>
        <w:tc>
          <w:tcPr>
            <w:tcW w:w="1780" w:type="dxa"/>
            <w:vAlign w:val="top"/>
          </w:tcPr>
          <w:p>
            <w:pPr>
              <w:pStyle w:val="TableText"/>
              <w:ind w:left="30"/>
              <w:spacing w:before="94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7"/>
              </w:rPr>
              <w:t>百分比 (%)</w:t>
            </w:r>
          </w:p>
        </w:tc>
        <w:tc>
          <w:tcPr>
            <w:tcW w:w="1035" w:type="dxa"/>
            <w:vAlign w:val="top"/>
          </w:tcPr>
          <w:p>
            <w:pPr>
              <w:ind w:left="209"/>
              <w:spacing w:before="13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62.69</w:t>
            </w:r>
          </w:p>
        </w:tc>
        <w:tc>
          <w:tcPr>
            <w:tcW w:w="1193" w:type="dxa"/>
            <w:vAlign w:val="top"/>
          </w:tcPr>
          <w:p>
            <w:pPr>
              <w:ind w:left="370"/>
              <w:spacing w:before="13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24.77</w:t>
            </w:r>
          </w:p>
        </w:tc>
        <w:tc>
          <w:tcPr>
            <w:tcW w:w="1188" w:type="dxa"/>
            <w:vAlign w:val="top"/>
          </w:tcPr>
          <w:p>
            <w:pPr>
              <w:ind w:left="373"/>
              <w:spacing w:before="13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8.56</w:t>
            </w:r>
          </w:p>
        </w:tc>
        <w:tc>
          <w:tcPr>
            <w:tcW w:w="1190" w:type="dxa"/>
            <w:vAlign w:val="top"/>
          </w:tcPr>
          <w:p>
            <w:pPr>
              <w:ind w:left="365"/>
              <w:spacing w:before="13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2.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14</w:t>
            </w:r>
          </w:p>
        </w:tc>
        <w:tc>
          <w:tcPr>
            <w:tcW w:w="1267" w:type="dxa"/>
            <w:vAlign w:val="top"/>
          </w:tcPr>
          <w:p>
            <w:pPr>
              <w:ind w:left="383"/>
              <w:spacing w:before="13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1.84</w:t>
            </w:r>
          </w:p>
        </w:tc>
        <w:tc>
          <w:tcPr>
            <w:tcW w:w="1446" w:type="dxa"/>
            <w:vAlign w:val="top"/>
          </w:tcPr>
          <w:p>
            <w:pPr>
              <w:ind w:left="304"/>
              <w:spacing w:before="13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100</w:t>
            </w:r>
          </w:p>
        </w:tc>
      </w:tr>
      <w:tr>
        <w:trPr>
          <w:trHeight w:val="403" w:hRule="atLeast"/>
        </w:trPr>
        <w:tc>
          <w:tcPr>
            <w:tcW w:w="1780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31"/>
              <w:spacing w:before="95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5"/>
              </w:rPr>
              <w:t>累计百分比 (%)</w:t>
            </w:r>
          </w:p>
        </w:tc>
        <w:tc>
          <w:tcPr>
            <w:tcW w:w="1035" w:type="dxa"/>
            <w:vAlign w:val="top"/>
            <w:tcBorders>
              <w:bottom w:val="single" w:color="000000" w:sz="2" w:space="0"/>
            </w:tcBorders>
          </w:tcPr>
          <w:p>
            <w:pPr>
              <w:ind w:left="209"/>
              <w:spacing w:before="13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62.69</w:t>
            </w:r>
          </w:p>
        </w:tc>
        <w:tc>
          <w:tcPr>
            <w:tcW w:w="1193" w:type="dxa"/>
            <w:vAlign w:val="top"/>
            <w:tcBorders>
              <w:bottom w:val="single" w:color="000000" w:sz="2" w:space="0"/>
            </w:tcBorders>
          </w:tcPr>
          <w:p>
            <w:pPr>
              <w:ind w:left="378"/>
              <w:spacing w:before="13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87.46</w:t>
            </w:r>
          </w:p>
        </w:tc>
        <w:tc>
          <w:tcPr>
            <w:tcW w:w="1188" w:type="dxa"/>
            <w:vAlign w:val="top"/>
            <w:tcBorders>
              <w:bottom w:val="single" w:color="000000" w:sz="2" w:space="0"/>
            </w:tcBorders>
          </w:tcPr>
          <w:p>
            <w:pPr>
              <w:ind w:left="369"/>
              <w:spacing w:before="13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96.02</w:t>
            </w:r>
          </w:p>
        </w:tc>
        <w:tc>
          <w:tcPr>
            <w:tcW w:w="1190" w:type="dxa"/>
            <w:vAlign w:val="top"/>
            <w:tcBorders>
              <w:bottom w:val="single" w:color="000000" w:sz="2" w:space="0"/>
            </w:tcBorders>
          </w:tcPr>
          <w:p>
            <w:pPr>
              <w:ind w:left="369"/>
              <w:spacing w:before="13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98.16</w:t>
            </w:r>
          </w:p>
        </w:tc>
        <w:tc>
          <w:tcPr>
            <w:tcW w:w="1267" w:type="dxa"/>
            <w:vAlign w:val="top"/>
            <w:tcBorders>
              <w:bottom w:val="single" w:color="000000" w:sz="2" w:space="0"/>
            </w:tcBorders>
          </w:tcPr>
          <w:p>
            <w:pPr>
              <w:ind w:left="383"/>
              <w:spacing w:before="13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100</w:t>
            </w:r>
          </w:p>
        </w:tc>
        <w:tc>
          <w:tcPr>
            <w:tcW w:w="1446" w:type="dxa"/>
            <w:vAlign w:val="top"/>
            <w:tcBorders>
              <w:bottom w:val="single" w:color="000000" w:sz="2" w:space="0"/>
            </w:tcBorders>
          </w:tcPr>
          <w:p>
            <w:pPr>
              <w:ind w:left="304"/>
              <w:spacing w:before="16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100</w:t>
            </w:r>
          </w:p>
        </w:tc>
      </w:tr>
    </w:tbl>
    <w:p>
      <w:pPr>
        <w:pStyle w:val="BodyText"/>
        <w:spacing w:line="474" w:lineRule="auto"/>
        <w:rPr/>
      </w:pPr>
      <w:r/>
    </w:p>
    <w:p>
      <w:pPr>
        <w:ind w:left="410" w:right="396" w:firstLine="560"/>
        <w:spacing w:before="91" w:line="362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项目组检测结果</w:t>
      </w:r>
      <w:r>
        <w:rPr>
          <w:rFonts w:ascii="FangSong_GB2312" w:hAnsi="FangSong_GB2312" w:eastAsia="FangSong_GB2312" w:cs="FangSong_GB2312"/>
          <w:sz w:val="28"/>
          <w:szCs w:val="28"/>
          <w:spacing w:val="11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项目组对</w:t>
      </w:r>
      <w:r>
        <w:rPr>
          <w:rFonts w:ascii="FangSong_GB2312" w:hAnsi="FangSong_GB2312" w:eastAsia="FangSong_GB2312" w:cs="FangSong_GB2312"/>
          <w:sz w:val="28"/>
          <w:szCs w:val="28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51</w:t>
      </w:r>
      <w:r>
        <w:rPr>
          <w:rFonts w:ascii="Times New Roman" w:hAnsi="Times New Roman" w:eastAsia="Times New Roman" w:cs="Times New Roman"/>
          <w:sz w:val="28"/>
          <w:szCs w:val="28"/>
          <w:spacing w:val="2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批次（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50</w:t>
      </w:r>
      <w:r>
        <w:rPr>
          <w:rFonts w:ascii="Times New Roman" w:hAnsi="Times New Roman" w:eastAsia="Times New Roman" w:cs="Times New Roman"/>
          <w:sz w:val="28"/>
          <w:szCs w:val="28"/>
          <w:spacing w:val="22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批厂家送样、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2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市场销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售）铁皮石斛进行了水分检测，水分在</w:t>
      </w:r>
      <w:r>
        <w:rPr>
          <w:rFonts w:ascii="FangSong_GB2312" w:hAnsi="FangSong_GB2312" w:eastAsia="FangSong_GB2312" w:cs="FangSong_GB2312"/>
          <w:sz w:val="28"/>
          <w:szCs w:val="28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0.53%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～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11.3%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之间，均值为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5.84%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。</w:t>
      </w:r>
    </w:p>
    <w:p>
      <w:pPr>
        <w:ind w:left="397" w:right="396" w:firstLine="567"/>
        <w:spacing w:before="35" w:line="36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标准限量值的制定：中国药典、广东省《食品安全地方标准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铁</w:t>
      </w:r>
      <w:r>
        <w:rPr>
          <w:rFonts w:ascii="FangSong_GB2312" w:hAnsi="FangSong_GB2312" w:eastAsia="FangSong_GB2312" w:cs="FangSong_GB2312"/>
          <w:sz w:val="28"/>
          <w:szCs w:val="28"/>
          <w:spacing w:val="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皮石斛》（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DBS44/023-2024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）、广西壮族自治区《食品安全地方标准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铁皮石斛茎（干制品）》（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DBS45/071-2021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）、贵州省《食品安全地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方标准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铁皮石斛茎》（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DBS52/ 048-2020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）、云南省《食品安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全地方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铁皮石斛》（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DBS53/035-2022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）（</w:t>
      </w:r>
      <w:r>
        <w:rPr>
          <w:rFonts w:ascii="FangSong_GB2312" w:hAnsi="FangSong_GB2312" w:eastAsia="FangSong_GB2312" w:cs="FangSong_GB2312"/>
          <w:sz w:val="28"/>
          <w:szCs w:val="28"/>
          <w:spacing w:val="-8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已废止）中规定铁皮石斛茎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8"/>
        </w:rPr>
        <w:t>合格品水分≤</w:t>
      </w:r>
      <w:r>
        <w:rPr>
          <w:rFonts w:ascii="FangSong_GB2312" w:hAnsi="FangSong_GB2312" w:eastAsia="FangSong_GB2312" w:cs="FangSong_GB2312"/>
          <w:sz w:val="28"/>
          <w:szCs w:val="28"/>
          <w:spacing w:val="-9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12 g/100g</w:t>
      </w:r>
      <w:r>
        <w:rPr>
          <w:rFonts w:ascii="FangSong_GB2312" w:hAnsi="FangSong_GB2312" w:eastAsia="FangSong_GB2312" w:cs="FangSong_GB2312"/>
          <w:sz w:val="28"/>
          <w:szCs w:val="28"/>
          <w:spacing w:val="8"/>
        </w:rPr>
        <w:t>；湖南省《食品安全地方标准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8"/>
        </w:rPr>
        <w:t>铁皮石斛》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z w:val="28"/>
          <w:szCs w:val="28"/>
        </w:rPr>
        <w:t>DBS43/013-2022</w:t>
      </w:r>
      <w:r>
        <w:rPr>
          <w:rFonts w:ascii="FangSong_GB2312" w:hAnsi="FangSong_GB2312" w:eastAsia="FangSong_GB2312" w:cs="FangSong_GB2312"/>
          <w:sz w:val="28"/>
          <w:szCs w:val="28"/>
        </w:rPr>
        <w:t>）中规定，铁皮石斛茎合格品水分≤</w:t>
      </w:r>
      <w:r>
        <w:rPr>
          <w:rFonts w:ascii="Times New Roman" w:hAnsi="Times New Roman" w:eastAsia="Times New Roman" w:cs="Times New Roman"/>
          <w:sz w:val="28"/>
          <w:szCs w:val="28"/>
        </w:rPr>
        <w:t>12 g/100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g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。</w:t>
      </w:r>
    </w:p>
    <w:p>
      <w:pPr>
        <w:ind w:left="979"/>
        <w:spacing w:before="1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综合参考铁皮石斛水分的标准，并结合项目组前期检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测数据和铁</w:t>
      </w:r>
    </w:p>
    <w:p>
      <w:pPr>
        <w:spacing w:line="214" w:lineRule="auto"/>
        <w:sectPr>
          <w:footerReference w:type="default" r:id="rId19"/>
          <w:pgSz w:w="11906" w:h="16839"/>
          <w:pgMar w:top="400" w:right="1403" w:bottom="1360" w:left="1403" w:header="0" w:footer="1200" w:gutter="0"/>
        </w:sectPr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495" w:right="336" w:hanging="30"/>
        <w:spacing w:before="91" w:line="359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皮石斛的实际情况，本标准中限定了合格品中水分应≤</w:t>
      </w:r>
      <w:r>
        <w:rPr>
          <w:rFonts w:ascii="FangSong_GB2312" w:hAnsi="FangSong_GB2312" w:eastAsia="FangSong_GB2312" w:cs="FangSong_GB2312"/>
          <w:sz w:val="28"/>
          <w:szCs w:val="28"/>
          <w:spacing w:val="-10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12 g/10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0g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。该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限量与中国药典中的水分限量一致。</w:t>
      </w:r>
    </w:p>
    <w:p>
      <w:pPr>
        <w:ind w:left="1029"/>
        <w:spacing w:before="30" w:line="215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5.2</w:t>
      </w:r>
      <w:r>
        <w:rPr>
          <w:rFonts w:ascii="Times New Roman" w:hAnsi="Times New Roman" w:eastAsia="Times New Roman" w:cs="Times New Roman"/>
          <w:sz w:val="28"/>
          <w:szCs w:val="28"/>
          <w:spacing w:val="2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>多糖</w:t>
      </w:r>
    </w:p>
    <w:p>
      <w:pPr>
        <w:ind w:left="457" w:right="336" w:firstLine="583"/>
        <w:spacing w:before="202" w:line="411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多糖虽然对食品安全无直接的影响，但属于产品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的重要特征性指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标。参照《中华人民共和国药典》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2020 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年版）</w:t>
      </w:r>
      <w:r>
        <w:rPr>
          <w:rFonts w:ascii="FangSong_GB2312" w:hAnsi="FangSong_GB2312" w:eastAsia="FangSong_GB2312" w:cs="FangSong_GB2312"/>
          <w:sz w:val="28"/>
          <w:szCs w:val="28"/>
          <w:spacing w:val="5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一部等相关产品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4"/>
        </w:rPr>
        <w:t>标准，综合产品检测结果，本标准规定多糖（</w:t>
      </w:r>
      <w:r>
        <w:rPr>
          <w:rFonts w:ascii="FangSong_GB2312" w:hAnsi="FangSong_GB2312" w:eastAsia="FangSong_GB2312" w:cs="FangSong_GB2312"/>
          <w:sz w:val="28"/>
          <w:szCs w:val="28"/>
          <w:spacing w:val="-7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4"/>
        </w:rPr>
        <w:t>以无水葡萄糖计</w:t>
      </w:r>
      <w:r>
        <w:rPr>
          <w:rFonts w:ascii="FangSong_GB2312" w:hAnsi="FangSong_GB2312" w:eastAsia="FangSong_GB2312" w:cs="FangSong_GB2312"/>
          <w:sz w:val="28"/>
          <w:szCs w:val="28"/>
          <w:spacing w:val="7"/>
        </w:rPr>
        <w:t>），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g/100g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）</w:t>
      </w:r>
      <w:r>
        <w:rPr>
          <w:rFonts w:ascii="FangSong_GB2312" w:hAnsi="FangSong_GB2312" w:eastAsia="FangSong_GB2312" w:cs="FangSong_GB2312"/>
          <w:sz w:val="28"/>
          <w:szCs w:val="28"/>
          <w:spacing w:val="7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≥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25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。</w:t>
      </w:r>
    </w:p>
    <w:p>
      <w:pPr>
        <w:ind w:left="474" w:right="335" w:firstLine="554"/>
        <w:spacing w:line="390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企业提供检测结果</w:t>
      </w:r>
      <w:r>
        <w:rPr>
          <w:rFonts w:ascii="SimSun" w:hAnsi="SimSun" w:eastAsia="SimSun" w:cs="SimSun"/>
          <w:sz w:val="20"/>
          <w:szCs w:val="20"/>
          <w:spacing w:val="-6"/>
        </w:rPr>
        <w:t>：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329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件多糖检测数据，多糖在</w:t>
      </w:r>
      <w:r>
        <w:rPr>
          <w:rFonts w:ascii="FangSong_GB2312" w:hAnsi="FangSong_GB2312" w:eastAsia="FangSong_GB2312" w:cs="FangSong_GB2312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0.40%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～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71.20%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之间，均值为</w:t>
      </w:r>
      <w:r>
        <w:rPr>
          <w:rFonts w:ascii="FangSong_GB2312" w:hAnsi="FangSong_GB2312" w:eastAsia="FangSong_GB2312" w:cs="FangSong_GB2312"/>
          <w:sz w:val="28"/>
          <w:szCs w:val="28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40.33%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。详见表</w:t>
      </w:r>
      <w:r>
        <w:rPr>
          <w:rFonts w:ascii="FangSong_GB2312" w:hAnsi="FangSong_GB2312" w:eastAsia="FangSong_GB2312" w:cs="FangSong_GB2312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。</w:t>
      </w:r>
    </w:p>
    <w:p>
      <w:pPr>
        <w:ind w:left="3488"/>
        <w:spacing w:line="226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6"/>
        </w:rPr>
        <w:t>表</w:t>
      </w:r>
      <w:r>
        <w:rPr>
          <w:rFonts w:ascii="SimSun" w:hAnsi="SimSun" w:eastAsia="SimSun" w:cs="SimSun"/>
          <w:sz w:val="20"/>
          <w:szCs w:val="20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6"/>
        </w:rPr>
        <w:t>2    </w:t>
      </w:r>
      <w:r>
        <w:rPr>
          <w:rFonts w:ascii="SimSun" w:hAnsi="SimSun" w:eastAsia="SimSun" w:cs="SimSun"/>
          <w:sz w:val="20"/>
          <w:szCs w:val="20"/>
          <w:spacing w:val="6"/>
        </w:rPr>
        <w:t>企业提供多糖检测结果</w:t>
      </w:r>
    </w:p>
    <w:p>
      <w:pPr>
        <w:spacing w:before="10"/>
        <w:rPr/>
      </w:pPr>
      <w:r/>
    </w:p>
    <w:tbl>
      <w:tblPr>
        <w:tblStyle w:val="TableNormal"/>
        <w:tblW w:w="9099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694"/>
        <w:gridCol w:w="769"/>
        <w:gridCol w:w="1015"/>
        <w:gridCol w:w="1110"/>
        <w:gridCol w:w="1061"/>
        <w:gridCol w:w="1059"/>
        <w:gridCol w:w="1026"/>
        <w:gridCol w:w="1365"/>
      </w:tblGrid>
      <w:tr>
        <w:trPr>
          <w:trHeight w:val="406" w:hRule="atLeast"/>
        </w:trPr>
        <w:tc>
          <w:tcPr>
            <w:tcW w:w="169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3"/>
              <w:spacing w:before="1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检测值（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>g/100g</w:t>
            </w:r>
            <w:r>
              <w:rPr>
                <w:sz w:val="20"/>
                <w:szCs w:val="20"/>
                <w:spacing w:val="5"/>
              </w:rPr>
              <w:t>）</w:t>
            </w:r>
          </w:p>
        </w:tc>
        <w:tc>
          <w:tcPr>
            <w:tcW w:w="76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21"/>
              <w:spacing w:before="98" w:line="265" w:lineRule="exact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9"/>
                <w:w w:val="125"/>
              </w:rPr>
              <w:t>0</w:t>
            </w:r>
            <w:r>
              <w:rPr>
                <w:sz w:val="20"/>
                <w:szCs w:val="20"/>
                <w:spacing w:val="19"/>
                <w:w w:val="125"/>
              </w:rPr>
              <w:t>~</w:t>
            </w:r>
          </w:p>
        </w:tc>
        <w:tc>
          <w:tcPr>
            <w:tcW w:w="10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10"/>
              <w:spacing w:before="98" w:line="265" w:lineRule="exact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25"/>
              </w:rPr>
              <w:t>5</w:t>
            </w:r>
            <w:r>
              <w:rPr>
                <w:sz w:val="20"/>
                <w:szCs w:val="20"/>
                <w:spacing w:val="18"/>
                <w:w w:val="125"/>
              </w:rPr>
              <w:t>~</w:t>
            </w:r>
          </w:p>
        </w:tc>
        <w:tc>
          <w:tcPr>
            <w:tcW w:w="111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70"/>
              <w:spacing w:before="98" w:line="265" w:lineRule="exact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4"/>
                <w:w w:val="101"/>
              </w:rPr>
              <w:t>10</w:t>
            </w:r>
            <w:r>
              <w:rPr>
                <w:sz w:val="20"/>
                <w:szCs w:val="20"/>
                <w:spacing w:val="24"/>
                <w:w w:val="101"/>
              </w:rPr>
              <w:t>~</w:t>
            </w:r>
          </w:p>
        </w:tc>
        <w:tc>
          <w:tcPr>
            <w:tcW w:w="106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03"/>
              <w:spacing w:before="98" w:line="265" w:lineRule="exact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4"/>
                <w:w w:val="117"/>
              </w:rPr>
              <w:t>30</w:t>
            </w:r>
            <w:r>
              <w:rPr>
                <w:sz w:val="20"/>
                <w:szCs w:val="20"/>
                <w:spacing w:val="14"/>
                <w:w w:val="117"/>
              </w:rPr>
              <w:t>~</w:t>
            </w:r>
          </w:p>
        </w:tc>
        <w:tc>
          <w:tcPr>
            <w:tcW w:w="105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02"/>
              <w:spacing w:before="98" w:line="265" w:lineRule="exact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5"/>
                <w:w w:val="116"/>
              </w:rPr>
              <w:t>50</w:t>
            </w:r>
            <w:r>
              <w:rPr>
                <w:sz w:val="20"/>
                <w:szCs w:val="20"/>
                <w:spacing w:val="15"/>
                <w:w w:val="116"/>
              </w:rPr>
              <w:t>~</w:t>
            </w:r>
          </w:p>
        </w:tc>
        <w:tc>
          <w:tcPr>
            <w:tcW w:w="102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02"/>
              <w:spacing w:before="98" w:line="265" w:lineRule="exact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4"/>
                <w:w w:val="116"/>
              </w:rPr>
              <w:t>60</w:t>
            </w:r>
            <w:r>
              <w:rPr>
                <w:sz w:val="20"/>
                <w:szCs w:val="20"/>
                <w:spacing w:val="14"/>
                <w:w w:val="116"/>
              </w:rPr>
              <w:t>~</w:t>
            </w:r>
          </w:p>
        </w:tc>
        <w:tc>
          <w:tcPr>
            <w:tcW w:w="136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2"/>
              <w:spacing w:before="132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合计</w:t>
            </w:r>
          </w:p>
        </w:tc>
      </w:tr>
      <w:tr>
        <w:trPr>
          <w:trHeight w:val="385" w:hRule="atLeast"/>
        </w:trPr>
        <w:tc>
          <w:tcPr>
            <w:tcW w:w="1694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22"/>
              <w:spacing w:before="87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7"/>
              </w:rPr>
              <w:t>样品个数</w:t>
            </w:r>
          </w:p>
        </w:tc>
        <w:tc>
          <w:tcPr>
            <w:tcW w:w="769" w:type="dxa"/>
            <w:vAlign w:val="top"/>
            <w:tcBorders>
              <w:top w:val="single" w:color="000000" w:sz="2" w:space="0"/>
            </w:tcBorders>
          </w:tcPr>
          <w:p>
            <w:pPr>
              <w:ind w:left="122"/>
              <w:spacing w:before="12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1015" w:type="dxa"/>
            <w:vAlign w:val="top"/>
            <w:tcBorders>
              <w:top w:val="single" w:color="000000" w:sz="2" w:space="0"/>
            </w:tcBorders>
          </w:tcPr>
          <w:p>
            <w:pPr>
              <w:ind w:left="308"/>
              <w:spacing w:before="131" w:line="192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1110" w:type="dxa"/>
            <w:vAlign w:val="top"/>
            <w:tcBorders>
              <w:top w:val="single" w:color="000000" w:sz="2" w:space="0"/>
            </w:tcBorders>
          </w:tcPr>
          <w:p>
            <w:pPr>
              <w:ind w:left="354"/>
              <w:spacing w:before="12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34</w:t>
            </w:r>
          </w:p>
        </w:tc>
        <w:tc>
          <w:tcPr>
            <w:tcW w:w="1061" w:type="dxa"/>
            <w:vAlign w:val="top"/>
            <w:tcBorders>
              <w:top w:val="single" w:color="000000" w:sz="2" w:space="0"/>
            </w:tcBorders>
          </w:tcPr>
          <w:p>
            <w:pPr>
              <w:ind w:left="298"/>
              <w:spacing w:before="12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214</w:t>
            </w:r>
          </w:p>
        </w:tc>
        <w:tc>
          <w:tcPr>
            <w:tcW w:w="1059" w:type="dxa"/>
            <w:vAlign w:val="top"/>
            <w:tcBorders>
              <w:top w:val="single" w:color="000000" w:sz="2" w:space="0"/>
            </w:tcBorders>
          </w:tcPr>
          <w:p>
            <w:pPr>
              <w:ind w:left="302"/>
              <w:spacing w:before="131" w:line="192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55</w:t>
            </w:r>
          </w:p>
        </w:tc>
        <w:tc>
          <w:tcPr>
            <w:tcW w:w="1026" w:type="dxa"/>
            <w:vAlign w:val="top"/>
            <w:tcBorders>
              <w:top w:val="single" w:color="000000" w:sz="2" w:space="0"/>
            </w:tcBorders>
          </w:tcPr>
          <w:p>
            <w:pPr>
              <w:ind w:left="318"/>
              <w:spacing w:before="12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>10</w:t>
            </w:r>
          </w:p>
        </w:tc>
        <w:tc>
          <w:tcPr>
            <w:tcW w:w="1365" w:type="dxa"/>
            <w:vAlign w:val="top"/>
            <w:tcBorders>
              <w:top w:val="single" w:color="000000" w:sz="2" w:space="0"/>
            </w:tcBorders>
          </w:tcPr>
          <w:p>
            <w:pPr>
              <w:ind w:left="332"/>
              <w:spacing w:before="13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329</w:t>
            </w:r>
          </w:p>
        </w:tc>
      </w:tr>
      <w:tr>
        <w:trPr>
          <w:trHeight w:val="388" w:hRule="atLeast"/>
        </w:trPr>
        <w:tc>
          <w:tcPr>
            <w:tcW w:w="1694" w:type="dxa"/>
            <w:vAlign w:val="top"/>
          </w:tcPr>
          <w:p>
            <w:pPr>
              <w:pStyle w:val="TableText"/>
              <w:ind w:left="30"/>
              <w:spacing w:before="94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7"/>
              </w:rPr>
              <w:t>百分比 (%)</w:t>
            </w:r>
          </w:p>
        </w:tc>
        <w:tc>
          <w:tcPr>
            <w:tcW w:w="769" w:type="dxa"/>
            <w:vAlign w:val="top"/>
          </w:tcPr>
          <w:p>
            <w:pPr>
              <w:ind w:left="118"/>
              <w:spacing w:before="14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2.73</w:t>
            </w:r>
          </w:p>
        </w:tc>
        <w:tc>
          <w:tcPr>
            <w:tcW w:w="1015" w:type="dxa"/>
            <w:vAlign w:val="top"/>
          </w:tcPr>
          <w:p>
            <w:pPr>
              <w:ind w:left="304"/>
              <w:spacing w:before="14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2.13</w:t>
            </w:r>
          </w:p>
        </w:tc>
        <w:tc>
          <w:tcPr>
            <w:tcW w:w="1110" w:type="dxa"/>
            <w:vAlign w:val="top"/>
          </w:tcPr>
          <w:p>
            <w:pPr>
              <w:ind w:left="370"/>
              <w:spacing w:before="14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10.33</w:t>
            </w:r>
          </w:p>
        </w:tc>
        <w:tc>
          <w:tcPr>
            <w:tcW w:w="1061" w:type="dxa"/>
            <w:vAlign w:val="top"/>
          </w:tcPr>
          <w:p>
            <w:pPr>
              <w:ind w:left="303"/>
              <w:spacing w:before="14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65.05</w:t>
            </w:r>
          </w:p>
        </w:tc>
        <w:tc>
          <w:tcPr>
            <w:tcW w:w="1059" w:type="dxa"/>
            <w:vAlign w:val="top"/>
          </w:tcPr>
          <w:p>
            <w:pPr>
              <w:ind w:left="316"/>
              <w:spacing w:before="14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16.72</w:t>
            </w:r>
          </w:p>
        </w:tc>
        <w:tc>
          <w:tcPr>
            <w:tcW w:w="1026" w:type="dxa"/>
            <w:vAlign w:val="top"/>
          </w:tcPr>
          <w:p>
            <w:pPr>
              <w:ind w:left="302"/>
              <w:spacing w:before="14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3.04</w:t>
            </w:r>
          </w:p>
        </w:tc>
        <w:tc>
          <w:tcPr>
            <w:tcW w:w="1365" w:type="dxa"/>
            <w:vAlign w:val="top"/>
          </w:tcPr>
          <w:p>
            <w:pPr>
              <w:ind w:left="348"/>
              <w:spacing w:before="14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100</w:t>
            </w:r>
          </w:p>
        </w:tc>
      </w:tr>
      <w:tr>
        <w:trPr>
          <w:trHeight w:val="403" w:hRule="atLeast"/>
        </w:trPr>
        <w:tc>
          <w:tcPr>
            <w:tcW w:w="1694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31"/>
              <w:spacing w:before="95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5"/>
              </w:rPr>
              <w:t>累计百分比 (%)</w:t>
            </w:r>
          </w:p>
        </w:tc>
        <w:tc>
          <w:tcPr>
            <w:tcW w:w="769" w:type="dxa"/>
            <w:vAlign w:val="top"/>
            <w:tcBorders>
              <w:bottom w:val="single" w:color="000000" w:sz="2" w:space="0"/>
            </w:tcBorders>
          </w:tcPr>
          <w:p>
            <w:pPr>
              <w:ind w:left="118"/>
              <w:spacing w:before="13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2.73</w:t>
            </w:r>
          </w:p>
        </w:tc>
        <w:tc>
          <w:tcPr>
            <w:tcW w:w="1015" w:type="dxa"/>
            <w:vAlign w:val="top"/>
            <w:tcBorders>
              <w:bottom w:val="single" w:color="000000" w:sz="2" w:space="0"/>
            </w:tcBorders>
          </w:tcPr>
          <w:p>
            <w:pPr>
              <w:ind w:left="303"/>
              <w:spacing w:before="13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4.86</w:t>
            </w:r>
          </w:p>
        </w:tc>
        <w:tc>
          <w:tcPr>
            <w:tcW w:w="1110" w:type="dxa"/>
            <w:vAlign w:val="top"/>
            <w:tcBorders>
              <w:bottom w:val="single" w:color="000000" w:sz="2" w:space="0"/>
            </w:tcBorders>
          </w:tcPr>
          <w:p>
            <w:pPr>
              <w:ind w:left="370"/>
              <w:spacing w:before="13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15.19</w:t>
            </w:r>
          </w:p>
        </w:tc>
        <w:tc>
          <w:tcPr>
            <w:tcW w:w="1061" w:type="dxa"/>
            <w:vAlign w:val="top"/>
            <w:tcBorders>
              <w:bottom w:val="single" w:color="000000" w:sz="2" w:space="0"/>
            </w:tcBorders>
          </w:tcPr>
          <w:p>
            <w:pPr>
              <w:ind w:left="307"/>
              <w:spacing w:before="13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80.24</w:t>
            </w:r>
          </w:p>
        </w:tc>
        <w:tc>
          <w:tcPr>
            <w:tcW w:w="1059" w:type="dxa"/>
            <w:vAlign w:val="top"/>
            <w:tcBorders>
              <w:bottom w:val="single" w:color="000000" w:sz="2" w:space="0"/>
            </w:tcBorders>
          </w:tcPr>
          <w:p>
            <w:pPr>
              <w:ind w:left="300"/>
              <w:spacing w:before="13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96.96</w:t>
            </w:r>
          </w:p>
        </w:tc>
        <w:tc>
          <w:tcPr>
            <w:tcW w:w="1026" w:type="dxa"/>
            <w:vAlign w:val="top"/>
            <w:tcBorders>
              <w:bottom w:val="single" w:color="000000" w:sz="2" w:space="0"/>
            </w:tcBorders>
          </w:tcPr>
          <w:p>
            <w:pPr>
              <w:ind w:left="318"/>
              <w:spacing w:before="13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100</w:t>
            </w:r>
          </w:p>
        </w:tc>
        <w:tc>
          <w:tcPr>
            <w:tcW w:w="1365" w:type="dxa"/>
            <w:vAlign w:val="top"/>
            <w:tcBorders>
              <w:bottom w:val="single" w:color="000000" w:sz="2" w:space="0"/>
            </w:tcBorders>
          </w:tcPr>
          <w:p>
            <w:pPr>
              <w:ind w:left="348"/>
              <w:spacing w:before="16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100</w:t>
            </w:r>
          </w:p>
        </w:tc>
      </w:tr>
    </w:tbl>
    <w:p>
      <w:pPr>
        <w:pStyle w:val="BodyText"/>
        <w:spacing w:line="475" w:lineRule="auto"/>
        <w:rPr/>
      </w:pPr>
      <w:r/>
    </w:p>
    <w:p>
      <w:pPr>
        <w:ind w:left="1024"/>
        <w:spacing w:before="91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标准限量值的制定：中国药典、广东省《食品安全地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方标准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铁</w:t>
      </w:r>
    </w:p>
    <w:p>
      <w:pPr>
        <w:pStyle w:val="BodyText"/>
        <w:ind w:left="457" w:right="336" w:firstLine="8"/>
        <w:spacing w:before="241" w:line="368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皮石斛》（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DBS44/023-2024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）、广西壮族自治区《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食品安全地方标准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铁皮石斛茎（干制品）》（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DBS45/071-2021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）、贵州省《食品安全地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方标准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铁皮石斛茎》（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DBS52/ 048-2020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）、云南省《食品安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全地方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铁皮石斛》（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DBS53/035-2022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）（</w:t>
      </w:r>
      <w:r>
        <w:rPr>
          <w:rFonts w:ascii="FangSong_GB2312" w:hAnsi="FangSong_GB2312" w:eastAsia="FangSong_GB2312" w:cs="FangSong_GB2312"/>
          <w:sz w:val="28"/>
          <w:szCs w:val="28"/>
          <w:spacing w:val="-8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已废止）中规定铁皮石斛茎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合格品多糖含量</w:t>
      </w:r>
      <w:r>
        <w:rPr>
          <w:sz w:val="28"/>
          <w:szCs w:val="28"/>
        </w:rPr>
        <w:t>≥</w:t>
      </w:r>
      <w:r>
        <w:rPr>
          <w:rFonts w:ascii="Times New Roman" w:hAnsi="Times New Roman" w:eastAsia="Times New Roman" w:cs="Times New Roman"/>
          <w:sz w:val="28"/>
          <w:szCs w:val="28"/>
        </w:rPr>
        <w:t>25 g/100g</w:t>
      </w:r>
      <w:r>
        <w:rPr>
          <w:rFonts w:ascii="Times New Roman" w:hAnsi="Times New Roman" w:eastAsia="Times New Roman" w:cs="Times New Roman"/>
          <w:sz w:val="28"/>
          <w:szCs w:val="28"/>
          <w:spacing w:val="-3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，其中广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东省地标规定铁皮石斛鲜品合格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4"/>
        </w:rPr>
        <w:t>品多糖含量</w:t>
      </w:r>
      <w:r>
        <w:rPr>
          <w:sz w:val="28"/>
          <w:szCs w:val="28"/>
          <w:spacing w:val="14"/>
        </w:rPr>
        <w:t>≥</w:t>
      </w:r>
      <w:r>
        <w:rPr>
          <w:rFonts w:ascii="Times New Roman" w:hAnsi="Times New Roman" w:eastAsia="Times New Roman" w:cs="Times New Roman"/>
          <w:sz w:val="28"/>
          <w:szCs w:val="28"/>
          <w:spacing w:val="14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4"/>
        </w:rPr>
        <w:t>g/100g</w:t>
      </w:r>
      <w:r>
        <w:rPr>
          <w:rFonts w:ascii="FangSong_GB2312" w:hAnsi="FangSong_GB2312" w:eastAsia="FangSong_GB2312" w:cs="FangSong_GB2312"/>
          <w:sz w:val="28"/>
          <w:szCs w:val="28"/>
          <w:spacing w:val="14"/>
        </w:rPr>
        <w:t>；</w:t>
      </w:r>
      <w:r>
        <w:rPr>
          <w:rFonts w:ascii="FangSong_GB2312" w:hAnsi="FangSong_GB2312" w:eastAsia="FangSong_GB2312" w:cs="FangSong_GB2312"/>
          <w:sz w:val="28"/>
          <w:szCs w:val="28"/>
          <w:spacing w:val="-7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4"/>
        </w:rPr>
        <w:t>湖南省《食品安全地方标</w:t>
      </w:r>
      <w:r>
        <w:rPr>
          <w:rFonts w:ascii="FangSong_GB2312" w:hAnsi="FangSong_GB2312" w:eastAsia="FangSong_GB2312" w:cs="FangSong_GB2312"/>
          <w:sz w:val="28"/>
          <w:szCs w:val="28"/>
          <w:spacing w:val="13"/>
        </w:rPr>
        <w:t>准</w:t>
      </w:r>
      <w:r>
        <w:rPr>
          <w:rFonts w:ascii="FangSong_GB2312" w:hAnsi="FangSong_GB2312" w:eastAsia="FangSong_GB2312" w:cs="FangSong_GB2312"/>
          <w:sz w:val="28"/>
          <w:szCs w:val="28"/>
          <w:spacing w:val="5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3"/>
        </w:rPr>
        <w:t>铁皮石斛》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z w:val="28"/>
          <w:szCs w:val="28"/>
        </w:rPr>
        <w:t>DBS43/013-2022</w:t>
      </w:r>
      <w:r>
        <w:rPr>
          <w:rFonts w:ascii="FangSong_GB2312" w:hAnsi="FangSong_GB2312" w:eastAsia="FangSong_GB2312" w:cs="FangSong_GB2312"/>
          <w:sz w:val="28"/>
          <w:szCs w:val="28"/>
        </w:rPr>
        <w:t>）中规定，铁皮石斛茎合格品多糖</w:t>
      </w:r>
      <w:r>
        <w:rPr>
          <w:sz w:val="28"/>
          <w:szCs w:val="28"/>
        </w:rPr>
        <w:t>≥</w:t>
      </w:r>
      <w:r>
        <w:rPr>
          <w:rFonts w:ascii="Times New Roman" w:hAnsi="Times New Roman" w:eastAsia="Times New Roman" w:cs="Times New Roman"/>
          <w:sz w:val="28"/>
          <w:szCs w:val="28"/>
        </w:rPr>
        <w:t>20 g/100g</w:t>
      </w:r>
      <w:r>
        <w:rPr>
          <w:rFonts w:ascii="FangSong_GB2312" w:hAnsi="FangSong_GB2312" w:eastAsia="FangSong_GB2312" w:cs="FangSong_GB2312"/>
          <w:sz w:val="28"/>
          <w:szCs w:val="28"/>
        </w:rPr>
        <w:t>。</w:t>
      </w:r>
    </w:p>
    <w:p>
      <w:pPr>
        <w:ind w:left="1039"/>
        <w:spacing w:before="8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综合参考铁皮石斛多糖的标准，并结合项目组前期检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测数据和铁</w:t>
      </w:r>
    </w:p>
    <w:p>
      <w:pPr>
        <w:pStyle w:val="BodyText"/>
        <w:ind w:left="465"/>
        <w:spacing w:before="235" w:line="212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</w:rPr>
        <w:t>皮石斛的实际情况，本标准中限定了合格品中多糖应</w:t>
      </w:r>
      <w:r>
        <w:rPr>
          <w:sz w:val="28"/>
          <w:szCs w:val="28"/>
        </w:rPr>
        <w:t>≥</w:t>
      </w:r>
      <w:r>
        <w:rPr>
          <w:rFonts w:ascii="Times New Roman" w:hAnsi="Times New Roman" w:eastAsia="Times New Roman" w:cs="Times New Roman"/>
          <w:sz w:val="28"/>
          <w:szCs w:val="28"/>
        </w:rPr>
        <w:t>25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g/100g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。该</w:t>
      </w:r>
    </w:p>
    <w:p>
      <w:pPr>
        <w:spacing w:line="212" w:lineRule="auto"/>
        <w:sectPr>
          <w:footerReference w:type="default" r:id="rId20"/>
          <w:pgSz w:w="11906" w:h="16839"/>
          <w:pgMar w:top="400" w:right="1463" w:bottom="1362" w:left="1343" w:header="0" w:footer="1200" w:gutter="0"/>
        </w:sectPr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401"/>
        <w:spacing w:before="91" w:line="21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限量与中国药典中的多糖指标一致。</w:t>
      </w:r>
    </w:p>
    <w:p>
      <w:pPr>
        <w:ind w:left="933"/>
        <w:spacing w:before="232" w:line="226" w:lineRule="auto"/>
        <w:rPr>
          <w:rFonts w:ascii="KaiTi" w:hAnsi="KaiTi" w:eastAsia="KaiTi" w:cs="KaiTi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6.</w:t>
      </w:r>
      <w:r>
        <w:rPr>
          <w:rFonts w:ascii="Times New Roman" w:hAnsi="Times New Roman" w:eastAsia="Times New Roman" w:cs="Times New Roman"/>
          <w:sz w:val="28"/>
          <w:szCs w:val="28"/>
          <w:spacing w:val="24"/>
        </w:rPr>
        <w:t xml:space="preserve"> </w:t>
      </w:r>
      <w:r>
        <w:rPr>
          <w:rFonts w:ascii="KaiTi" w:hAnsi="KaiTi" w:eastAsia="KaiTi" w:cs="KaiTi"/>
          <w:sz w:val="28"/>
          <w:szCs w:val="28"/>
          <w:spacing w:val="-7"/>
        </w:rPr>
        <w:t>污染物</w:t>
      </w:r>
    </w:p>
    <w:p>
      <w:pPr>
        <w:pStyle w:val="BodyText"/>
        <w:spacing w:line="326" w:lineRule="auto"/>
        <w:rPr/>
      </w:pPr>
      <w:r/>
    </w:p>
    <w:p>
      <w:pPr>
        <w:ind w:left="933"/>
        <w:spacing w:before="91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6.1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铅</w:t>
      </w:r>
    </w:p>
    <w:p>
      <w:pPr>
        <w:ind w:left="947"/>
        <w:spacing w:before="234" w:line="212" w:lineRule="auto"/>
        <w:outlineLvl w:val="2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</w:rPr>
        <w:t>温州疾控</w:t>
      </w:r>
      <w:r>
        <w:rPr>
          <w:rFonts w:ascii="FangSong_GB2312" w:hAnsi="FangSong_GB2312" w:eastAsia="FangSong_GB2312" w:cs="FangSong_GB2312"/>
          <w:sz w:val="28"/>
          <w:szCs w:val="28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35 </w:t>
      </w:r>
      <w:r>
        <w:rPr>
          <w:rFonts w:ascii="FangSong_GB2312" w:hAnsi="FangSong_GB2312" w:eastAsia="FangSong_GB2312" w:cs="FangSong_GB2312"/>
          <w:sz w:val="28"/>
          <w:szCs w:val="28"/>
        </w:rPr>
        <w:t>件、台州疾控</w:t>
      </w:r>
      <w:r>
        <w:rPr>
          <w:rFonts w:ascii="FangSong_GB2312" w:hAnsi="FangSong_GB2312" w:eastAsia="FangSong_GB2312" w:cs="FangSong_GB2312"/>
          <w:sz w:val="28"/>
          <w:szCs w:val="28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9 </w:t>
      </w:r>
      <w:r>
        <w:rPr>
          <w:rFonts w:ascii="FangSong_GB2312" w:hAnsi="FangSong_GB2312" w:eastAsia="FangSong_GB2312" w:cs="FangSong_GB2312"/>
          <w:sz w:val="28"/>
          <w:szCs w:val="28"/>
        </w:rPr>
        <w:t>件均小于</w:t>
      </w:r>
      <w:r>
        <w:rPr>
          <w:rFonts w:ascii="FangSong_GB2312" w:hAnsi="FangSong_GB2312" w:eastAsia="FangSong_GB2312" w:cs="FangSong_GB2312"/>
          <w:sz w:val="28"/>
          <w:szCs w:val="28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1.0 mg/kg</w:t>
      </w:r>
      <w:r>
        <w:rPr>
          <w:rFonts w:ascii="Times New Roman" w:hAnsi="Times New Roman" w:eastAsia="Times New Roman" w:cs="Times New Roman"/>
          <w:sz w:val="28"/>
          <w:szCs w:val="28"/>
          <w:spacing w:val="-2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，企业提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供</w:t>
      </w:r>
      <w:r>
        <w:rPr>
          <w:rFonts w:ascii="FangSong_GB2312" w:hAnsi="FangSong_GB2312" w:eastAsia="FangSong_GB2312" w:cs="FangSong_GB2312"/>
          <w:sz w:val="28"/>
          <w:szCs w:val="28"/>
          <w:spacing w:val="-4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83</w:t>
      </w:r>
    </w:p>
    <w:p>
      <w:pPr>
        <w:ind w:left="381" w:right="363" w:hanging="12"/>
        <w:spacing w:before="237" w:line="360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件样品检测结果，均小于</w:t>
      </w:r>
      <w:r>
        <w:rPr>
          <w:rFonts w:ascii="FangSong_GB2312" w:hAnsi="FangSong_GB2312" w:eastAsia="FangSong_GB2312" w:cs="FangSong_GB2312"/>
          <w:sz w:val="28"/>
          <w:szCs w:val="28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1.0 </w:t>
      </w:r>
      <w:r>
        <w:rPr>
          <w:rFonts w:ascii="Times New Roman" w:hAnsi="Times New Roman" w:eastAsia="Times New Roman" w:cs="Times New Roman"/>
          <w:sz w:val="28"/>
          <w:szCs w:val="28"/>
        </w:rPr>
        <w:t>mg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/</w:t>
      </w:r>
      <w:r>
        <w:rPr>
          <w:rFonts w:ascii="Times New Roman" w:hAnsi="Times New Roman" w:eastAsia="Times New Roman" w:cs="Times New Roman"/>
          <w:sz w:val="28"/>
          <w:szCs w:val="28"/>
        </w:rPr>
        <w:t>kg</w:t>
      </w:r>
      <w:r>
        <w:rPr>
          <w:rFonts w:ascii="Times New Roman" w:hAnsi="Times New Roman" w:eastAsia="Times New Roman" w:cs="Times New Roman"/>
          <w:sz w:val="28"/>
          <w:szCs w:val="28"/>
          <w:spacing w:val="-3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。参照相关标准</w:t>
      </w:r>
      <w:r>
        <w:rPr>
          <w:rFonts w:ascii="FangSong_GB2312" w:hAnsi="FangSong_GB2312" w:eastAsia="FangSong_GB2312" w:cs="FangSong_GB2312"/>
          <w:sz w:val="28"/>
          <w:szCs w:val="28"/>
        </w:rPr>
        <w:t>，结合产品检测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结果，本标准规定铅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(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以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Pb 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计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) ≤1.0 mg/kg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。</w:t>
      </w:r>
    </w:p>
    <w:p>
      <w:pPr>
        <w:ind w:left="934"/>
        <w:spacing w:before="30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企业提供检测结果：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83</w:t>
      </w:r>
      <w:r>
        <w:rPr>
          <w:rFonts w:ascii="Times New Roman" w:hAnsi="Times New Roman" w:eastAsia="Times New Roman" w:cs="Times New Roman"/>
          <w:sz w:val="28"/>
          <w:szCs w:val="28"/>
          <w:spacing w:val="21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批次铁皮石斛叶中污染物铅的检测数据，</w:t>
      </w:r>
    </w:p>
    <w:p>
      <w:pPr>
        <w:ind w:left="386" w:right="361" w:hanging="18"/>
        <w:spacing w:before="233" w:line="337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含量在</w:t>
      </w:r>
      <w:r>
        <w:rPr>
          <w:rFonts w:ascii="FangSong_GB2312" w:hAnsi="FangSong_GB2312" w:eastAsia="FangSong_GB2312" w:cs="FangSong_GB2312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0.06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～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0.89mg/kg</w:t>
      </w:r>
      <w:r>
        <w:rPr>
          <w:rFonts w:ascii="Times New Roman" w:hAnsi="Times New Roman" w:eastAsia="Times New Roman" w:cs="Times New Roman"/>
          <w:sz w:val="28"/>
          <w:szCs w:val="28"/>
          <w:spacing w:val="4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间，均值</w:t>
      </w:r>
      <w:r>
        <w:rPr>
          <w:rFonts w:ascii="FangSong_GB2312" w:hAnsi="FangSong_GB2312" w:eastAsia="FangSong_GB2312" w:cs="FangSong_GB2312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0.26mg/kg</w:t>
      </w:r>
      <w:r>
        <w:rPr>
          <w:rFonts w:ascii="Times New Roman" w:hAnsi="Times New Roman" w:eastAsia="Times New Roman" w:cs="Times New Roman"/>
          <w:sz w:val="28"/>
          <w:szCs w:val="28"/>
          <w:spacing w:val="-3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，中位数</w:t>
      </w:r>
      <w:r>
        <w:rPr>
          <w:rFonts w:ascii="FangSong_GB2312" w:hAnsi="FangSong_GB2312" w:eastAsia="FangSong_GB2312" w:cs="FangSong_GB2312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0.21mg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/kg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。详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9"/>
        </w:rPr>
        <w:t>见表</w:t>
      </w:r>
      <w:r>
        <w:rPr>
          <w:rFonts w:ascii="FangSong_GB2312" w:hAnsi="FangSong_GB2312" w:eastAsia="FangSong_GB2312" w:cs="FangSong_GB2312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3</w:t>
      </w:r>
      <w:r>
        <w:rPr>
          <w:rFonts w:ascii="FangSong_GB2312" w:hAnsi="FangSong_GB2312" w:eastAsia="FangSong_GB2312" w:cs="FangSong_GB2312"/>
          <w:sz w:val="28"/>
          <w:szCs w:val="28"/>
          <w:spacing w:val="-9"/>
        </w:rPr>
        <w:t>。</w:t>
      </w:r>
    </w:p>
    <w:p>
      <w:pPr>
        <w:ind w:left="3498"/>
        <w:spacing w:before="1" w:line="226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6"/>
        </w:rPr>
        <w:t>表</w:t>
      </w:r>
      <w:r>
        <w:rPr>
          <w:rFonts w:ascii="SimSun" w:hAnsi="SimSun" w:eastAsia="SimSun" w:cs="SimSun"/>
          <w:sz w:val="20"/>
          <w:szCs w:val="20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6"/>
        </w:rPr>
        <w:t>3    </w:t>
      </w:r>
      <w:r>
        <w:rPr>
          <w:rFonts w:ascii="SimSun" w:hAnsi="SimSun" w:eastAsia="SimSun" w:cs="SimSun"/>
          <w:sz w:val="20"/>
          <w:szCs w:val="20"/>
          <w:spacing w:val="6"/>
        </w:rPr>
        <w:t>企业提供铅检测结果</w:t>
      </w:r>
    </w:p>
    <w:p>
      <w:pPr>
        <w:spacing w:line="6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680" w:type="dxa"/>
        <w:tblInd w:w="17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725"/>
        <w:gridCol w:w="947"/>
        <w:gridCol w:w="1147"/>
        <w:gridCol w:w="1234"/>
        <w:gridCol w:w="1138"/>
        <w:gridCol w:w="1082"/>
        <w:gridCol w:w="1407"/>
      </w:tblGrid>
      <w:tr>
        <w:trPr>
          <w:trHeight w:val="398" w:hRule="atLeast"/>
        </w:trPr>
        <w:tc>
          <w:tcPr>
            <w:tcW w:w="172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3"/>
              <w:spacing w:before="1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9"/>
              </w:rPr>
              <w:t>检测值（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mg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9"/>
              </w:rPr>
              <w:t>/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kg</w:t>
            </w:r>
            <w:r>
              <w:rPr>
                <w:sz w:val="20"/>
                <w:szCs w:val="20"/>
                <w:spacing w:val="9"/>
              </w:rPr>
              <w:t>）</w:t>
            </w:r>
          </w:p>
        </w:tc>
        <w:tc>
          <w:tcPr>
            <w:tcW w:w="94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50"/>
              <w:spacing w:before="127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25"/>
              </w:rPr>
              <w:t>0</w:t>
            </w:r>
            <w:r>
              <w:rPr>
                <w:sz w:val="20"/>
                <w:szCs w:val="20"/>
                <w:spacing w:val="18"/>
                <w:w w:val="125"/>
              </w:rPr>
              <w:t>~</w:t>
            </w:r>
          </w:p>
        </w:tc>
        <w:tc>
          <w:tcPr>
            <w:tcW w:w="114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50"/>
              <w:spacing w:before="127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6"/>
                <w:w w:val="109"/>
              </w:rPr>
              <w:t>0.2</w:t>
            </w:r>
            <w:r>
              <w:rPr>
                <w:sz w:val="20"/>
                <w:szCs w:val="20"/>
                <w:spacing w:val="16"/>
                <w:w w:val="109"/>
              </w:rPr>
              <w:t>~</w:t>
            </w:r>
          </w:p>
        </w:tc>
        <w:tc>
          <w:tcPr>
            <w:tcW w:w="123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50"/>
              <w:spacing w:before="127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5"/>
                <w:w w:val="110"/>
              </w:rPr>
              <w:t>0.4</w:t>
            </w:r>
            <w:r>
              <w:rPr>
                <w:sz w:val="20"/>
                <w:szCs w:val="20"/>
                <w:spacing w:val="15"/>
                <w:w w:val="110"/>
              </w:rPr>
              <w:t>~</w:t>
            </w:r>
          </w:p>
        </w:tc>
        <w:tc>
          <w:tcPr>
            <w:tcW w:w="113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51"/>
              <w:spacing w:before="127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7"/>
                <w:w w:val="108"/>
              </w:rPr>
              <w:t>0.6</w:t>
            </w:r>
            <w:r>
              <w:rPr>
                <w:sz w:val="20"/>
                <w:szCs w:val="20"/>
                <w:spacing w:val="17"/>
                <w:w w:val="108"/>
              </w:rPr>
              <w:t>~</w:t>
            </w:r>
          </w:p>
        </w:tc>
        <w:tc>
          <w:tcPr>
            <w:tcW w:w="108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39"/>
              <w:spacing w:before="12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0.8</w:t>
            </w:r>
            <w:r>
              <w:rPr>
                <w:sz w:val="20"/>
                <w:szCs w:val="20"/>
                <w:spacing w:val="3"/>
              </w:rPr>
              <w:t>～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1</w:t>
            </w:r>
          </w:p>
        </w:tc>
        <w:tc>
          <w:tcPr>
            <w:tcW w:w="140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68"/>
              <w:spacing w:before="127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合计</w:t>
            </w:r>
          </w:p>
        </w:tc>
      </w:tr>
      <w:tr>
        <w:trPr>
          <w:trHeight w:val="385" w:hRule="atLeast"/>
        </w:trPr>
        <w:tc>
          <w:tcPr>
            <w:tcW w:w="1725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22"/>
              <w:spacing w:before="89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7"/>
              </w:rPr>
              <w:t>样品个数</w:t>
            </w:r>
          </w:p>
        </w:tc>
        <w:tc>
          <w:tcPr>
            <w:tcW w:w="947" w:type="dxa"/>
            <w:vAlign w:val="top"/>
            <w:tcBorders>
              <w:top w:val="single" w:color="000000" w:sz="2" w:space="0"/>
            </w:tcBorders>
          </w:tcPr>
          <w:p>
            <w:pPr>
              <w:ind w:left="151"/>
              <w:spacing w:before="13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1147" w:type="dxa"/>
            <w:vAlign w:val="top"/>
            <w:tcBorders>
              <w:top w:val="single" w:color="000000" w:sz="2" w:space="0"/>
            </w:tcBorders>
          </w:tcPr>
          <w:p>
            <w:pPr>
              <w:ind w:left="351"/>
              <w:spacing w:before="13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37</w:t>
            </w:r>
          </w:p>
        </w:tc>
        <w:tc>
          <w:tcPr>
            <w:tcW w:w="1234" w:type="dxa"/>
            <w:vAlign w:val="top"/>
            <w:tcBorders>
              <w:top w:val="single" w:color="000000" w:sz="2" w:space="0"/>
            </w:tcBorders>
          </w:tcPr>
          <w:p>
            <w:pPr>
              <w:ind w:left="358"/>
              <w:spacing w:before="13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0"/>
              </w:rPr>
              <w:t>11</w:t>
            </w:r>
          </w:p>
        </w:tc>
        <w:tc>
          <w:tcPr>
            <w:tcW w:w="1138" w:type="dxa"/>
            <w:vAlign w:val="top"/>
            <w:tcBorders>
              <w:top w:val="single" w:color="000000" w:sz="2" w:space="0"/>
            </w:tcBorders>
          </w:tcPr>
          <w:p>
            <w:pPr>
              <w:ind w:left="239"/>
              <w:spacing w:before="13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082" w:type="dxa"/>
            <w:vAlign w:val="top"/>
            <w:tcBorders>
              <w:top w:val="single" w:color="000000" w:sz="2" w:space="0"/>
            </w:tcBorders>
          </w:tcPr>
          <w:p>
            <w:pPr>
              <w:ind w:left="256"/>
              <w:spacing w:before="13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407" w:type="dxa"/>
            <w:vAlign w:val="top"/>
            <w:tcBorders>
              <w:top w:val="single" w:color="000000" w:sz="2" w:space="0"/>
            </w:tcBorders>
          </w:tcPr>
          <w:p>
            <w:pPr>
              <w:ind w:left="300"/>
              <w:spacing w:before="13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83</w:t>
            </w:r>
          </w:p>
        </w:tc>
      </w:tr>
      <w:tr>
        <w:trPr>
          <w:trHeight w:val="391" w:hRule="atLeast"/>
        </w:trPr>
        <w:tc>
          <w:tcPr>
            <w:tcW w:w="1725" w:type="dxa"/>
            <w:vAlign w:val="top"/>
          </w:tcPr>
          <w:p>
            <w:pPr>
              <w:pStyle w:val="TableText"/>
              <w:ind w:left="30"/>
              <w:spacing w:before="93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7"/>
              </w:rPr>
              <w:t>百分比 (%)</w:t>
            </w:r>
          </w:p>
        </w:tc>
        <w:tc>
          <w:tcPr>
            <w:tcW w:w="947" w:type="dxa"/>
            <w:vAlign w:val="top"/>
          </w:tcPr>
          <w:p>
            <w:pPr>
              <w:ind w:left="151"/>
              <w:spacing w:before="14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38.55</w:t>
            </w:r>
          </w:p>
        </w:tc>
        <w:tc>
          <w:tcPr>
            <w:tcW w:w="1147" w:type="dxa"/>
            <w:vAlign w:val="top"/>
          </w:tcPr>
          <w:p>
            <w:pPr>
              <w:ind w:left="346"/>
              <w:spacing w:before="14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44.58</w:t>
            </w:r>
          </w:p>
        </w:tc>
        <w:tc>
          <w:tcPr>
            <w:tcW w:w="1234" w:type="dxa"/>
            <w:vAlign w:val="top"/>
          </w:tcPr>
          <w:p>
            <w:pPr>
              <w:ind w:left="358"/>
              <w:spacing w:before="14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13.25</w:t>
            </w:r>
          </w:p>
        </w:tc>
        <w:tc>
          <w:tcPr>
            <w:tcW w:w="1138" w:type="dxa"/>
            <w:vAlign w:val="top"/>
          </w:tcPr>
          <w:p>
            <w:pPr>
              <w:ind w:left="239"/>
              <w:spacing w:before="14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2.41</w:t>
            </w:r>
          </w:p>
        </w:tc>
        <w:tc>
          <w:tcPr>
            <w:tcW w:w="1082" w:type="dxa"/>
            <w:vAlign w:val="top"/>
          </w:tcPr>
          <w:p>
            <w:pPr>
              <w:ind w:left="256"/>
              <w:spacing w:before="14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1.21</w:t>
            </w:r>
          </w:p>
        </w:tc>
        <w:tc>
          <w:tcPr>
            <w:tcW w:w="1407" w:type="dxa"/>
            <w:vAlign w:val="top"/>
          </w:tcPr>
          <w:p>
            <w:pPr>
              <w:ind w:left="312"/>
              <w:spacing w:before="14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100</w:t>
            </w:r>
          </w:p>
        </w:tc>
      </w:tr>
      <w:tr>
        <w:trPr>
          <w:trHeight w:val="413" w:hRule="atLeast"/>
        </w:trPr>
        <w:tc>
          <w:tcPr>
            <w:tcW w:w="1725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31"/>
              <w:spacing w:before="98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5"/>
              </w:rPr>
              <w:t>累计百分比 (%)</w:t>
            </w:r>
          </w:p>
        </w:tc>
        <w:tc>
          <w:tcPr>
            <w:tcW w:w="947" w:type="dxa"/>
            <w:vAlign w:val="top"/>
            <w:tcBorders>
              <w:bottom w:val="single" w:color="000000" w:sz="2" w:space="0"/>
            </w:tcBorders>
          </w:tcPr>
          <w:p>
            <w:pPr>
              <w:ind w:left="151"/>
              <w:spacing w:before="14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38.55</w:t>
            </w:r>
          </w:p>
        </w:tc>
        <w:tc>
          <w:tcPr>
            <w:tcW w:w="1147" w:type="dxa"/>
            <w:vAlign w:val="top"/>
            <w:tcBorders>
              <w:bottom w:val="single" w:color="000000" w:sz="2" w:space="0"/>
            </w:tcBorders>
          </w:tcPr>
          <w:p>
            <w:pPr>
              <w:ind w:left="355"/>
              <w:spacing w:before="14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83.13</w:t>
            </w:r>
          </w:p>
        </w:tc>
        <w:tc>
          <w:tcPr>
            <w:tcW w:w="1234" w:type="dxa"/>
            <w:vAlign w:val="top"/>
            <w:tcBorders>
              <w:bottom w:val="single" w:color="000000" w:sz="2" w:space="0"/>
            </w:tcBorders>
          </w:tcPr>
          <w:p>
            <w:pPr>
              <w:ind w:left="342"/>
              <w:spacing w:before="14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96.30</w:t>
            </w:r>
          </w:p>
        </w:tc>
        <w:tc>
          <w:tcPr>
            <w:tcW w:w="1138" w:type="dxa"/>
            <w:vAlign w:val="top"/>
            <w:tcBorders>
              <w:bottom w:val="single" w:color="000000" w:sz="2" w:space="0"/>
            </w:tcBorders>
          </w:tcPr>
          <w:p>
            <w:pPr>
              <w:ind w:left="243"/>
              <w:spacing w:before="14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98.79</w:t>
            </w:r>
          </w:p>
        </w:tc>
        <w:tc>
          <w:tcPr>
            <w:tcW w:w="1082" w:type="dxa"/>
            <w:vAlign w:val="top"/>
            <w:tcBorders>
              <w:bottom w:val="single" w:color="000000" w:sz="2" w:space="0"/>
            </w:tcBorders>
          </w:tcPr>
          <w:p>
            <w:pPr>
              <w:ind w:left="256"/>
              <w:spacing w:before="14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100</w:t>
            </w:r>
          </w:p>
        </w:tc>
        <w:tc>
          <w:tcPr>
            <w:tcW w:w="1407" w:type="dxa"/>
            <w:vAlign w:val="top"/>
            <w:tcBorders>
              <w:bottom w:val="single" w:color="000000" w:sz="2" w:space="0"/>
            </w:tcBorders>
          </w:tcPr>
          <w:p>
            <w:pPr>
              <w:ind w:left="312"/>
              <w:spacing w:before="17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100</w:t>
            </w:r>
          </w:p>
        </w:tc>
      </w:tr>
    </w:tbl>
    <w:p>
      <w:pPr>
        <w:ind w:left="380" w:right="361" w:firstLine="554"/>
        <w:spacing w:before="174" w:line="397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</w:rPr>
        <w:t>项目组检测结果：项目组对</w:t>
      </w:r>
      <w:r>
        <w:rPr>
          <w:rFonts w:ascii="FangSong_GB2312" w:hAnsi="FangSong_GB2312" w:eastAsia="FangSong_GB2312" w:cs="FangSong_GB2312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44</w:t>
      </w:r>
      <w:r>
        <w:rPr>
          <w:rFonts w:ascii="Times New Roman" w:hAnsi="Times New Roman" w:eastAsia="Times New Roman" w:cs="Times New Roman"/>
          <w:sz w:val="28"/>
          <w:szCs w:val="28"/>
          <w:spacing w:val="1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批次铁皮石斛叶进行了铅含量检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测，铅含量结果为</w:t>
      </w:r>
      <w:r>
        <w:rPr>
          <w:rFonts w:ascii="FangSong_GB2312" w:hAnsi="FangSong_GB2312" w:eastAsia="FangSong_GB2312" w:cs="FangSong_GB2312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0.0124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～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0.245 mg/kg</w:t>
      </w:r>
      <w:r>
        <w:rPr>
          <w:rFonts w:ascii="Times New Roman" w:hAnsi="Times New Roman" w:eastAsia="Times New Roman" w:cs="Times New Roman"/>
          <w:sz w:val="28"/>
          <w:szCs w:val="28"/>
          <w:spacing w:val="-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，均值为</w:t>
      </w:r>
      <w:r>
        <w:rPr>
          <w:rFonts w:ascii="FangSong_GB2312" w:hAnsi="FangSong_GB2312" w:eastAsia="FangSong_GB2312" w:cs="FangSong_GB2312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0.063 mg/kg</w:t>
      </w:r>
      <w:r>
        <w:rPr>
          <w:rFonts w:ascii="Times New Roman" w:hAnsi="Times New Roman" w:eastAsia="Times New Roman" w:cs="Times New Roman"/>
          <w:sz w:val="28"/>
          <w:szCs w:val="28"/>
          <w:spacing w:val="-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，中位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数</w:t>
      </w:r>
      <w:r>
        <w:rPr>
          <w:rFonts w:ascii="FangSong_GB2312" w:hAnsi="FangSong_GB2312" w:eastAsia="FangSong_GB2312" w:cs="FangSong_GB2312"/>
          <w:sz w:val="28"/>
          <w:szCs w:val="28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0.04625 mg/kg</w:t>
      </w:r>
      <w:r>
        <w:rPr>
          <w:rFonts w:ascii="Times New Roman" w:hAnsi="Times New Roman" w:eastAsia="Times New Roman" w:cs="Times New Roman"/>
          <w:sz w:val="28"/>
          <w:szCs w:val="28"/>
          <w:spacing w:val="-4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。详见表</w:t>
      </w:r>
      <w:r>
        <w:rPr>
          <w:rFonts w:ascii="FangSong_GB2312" w:hAnsi="FangSong_GB2312" w:eastAsia="FangSong_GB2312" w:cs="FangSong_GB2312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4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。</w:t>
      </w:r>
    </w:p>
    <w:p>
      <w:pPr>
        <w:ind w:left="3578"/>
        <w:spacing w:before="1" w:line="227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6"/>
        </w:rPr>
        <w:t>表</w:t>
      </w:r>
      <w:r>
        <w:rPr>
          <w:rFonts w:ascii="SimSun" w:hAnsi="SimSun" w:eastAsia="SimSun" w:cs="SimSun"/>
          <w:sz w:val="20"/>
          <w:szCs w:val="20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6"/>
        </w:rPr>
        <w:t>4    </w:t>
      </w:r>
      <w:r>
        <w:rPr>
          <w:rFonts w:ascii="SimSun" w:hAnsi="SimSun" w:eastAsia="SimSun" w:cs="SimSun"/>
          <w:sz w:val="20"/>
          <w:szCs w:val="20"/>
          <w:spacing w:val="6"/>
        </w:rPr>
        <w:t>项目组检测铅结果</w:t>
      </w:r>
    </w:p>
    <w:p>
      <w:pPr>
        <w:spacing w:line="54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030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764"/>
        <w:gridCol w:w="1131"/>
        <w:gridCol w:w="1467"/>
        <w:gridCol w:w="1368"/>
        <w:gridCol w:w="1416"/>
        <w:gridCol w:w="1884"/>
      </w:tblGrid>
      <w:tr>
        <w:trPr>
          <w:trHeight w:val="399" w:hRule="atLeast"/>
        </w:trPr>
        <w:tc>
          <w:tcPr>
            <w:tcW w:w="176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2"/>
              <w:spacing w:before="9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9"/>
              </w:rPr>
              <w:t>检测值（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mg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9"/>
              </w:rPr>
              <w:t>/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kg</w:t>
            </w:r>
            <w:r>
              <w:rPr>
                <w:sz w:val="20"/>
                <w:szCs w:val="20"/>
                <w:spacing w:val="9"/>
              </w:rPr>
              <w:t>）</w:t>
            </w:r>
          </w:p>
        </w:tc>
        <w:tc>
          <w:tcPr>
            <w:tcW w:w="113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94"/>
              <w:spacing w:before="106" w:line="264" w:lineRule="exact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9"/>
                <w:w w:val="125"/>
              </w:rPr>
              <w:t>0</w:t>
            </w:r>
            <w:r>
              <w:rPr>
                <w:sz w:val="20"/>
                <w:szCs w:val="20"/>
                <w:spacing w:val="19"/>
                <w:w w:val="125"/>
              </w:rPr>
              <w:t>~</w:t>
            </w:r>
          </w:p>
        </w:tc>
        <w:tc>
          <w:tcPr>
            <w:tcW w:w="146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81"/>
              <w:spacing w:before="106" w:line="264" w:lineRule="exact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0"/>
              </w:rPr>
              <w:t>0.05</w:t>
            </w:r>
            <w:r>
              <w:rPr>
                <w:sz w:val="20"/>
                <w:szCs w:val="20"/>
                <w:spacing w:val="20"/>
              </w:rPr>
              <w:t>~</w:t>
            </w:r>
          </w:p>
        </w:tc>
        <w:tc>
          <w:tcPr>
            <w:tcW w:w="136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33"/>
              <w:spacing w:before="106" w:line="264" w:lineRule="exact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7"/>
              </w:rPr>
              <w:t>0.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7"/>
              </w:rPr>
              <w:t>1</w:t>
            </w:r>
            <w:r>
              <w:rPr>
                <w:sz w:val="20"/>
                <w:szCs w:val="20"/>
                <w:spacing w:val="17"/>
              </w:rPr>
              <w:t>~</w:t>
            </w:r>
          </w:p>
        </w:tc>
        <w:tc>
          <w:tcPr>
            <w:tcW w:w="141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83"/>
              <w:spacing w:before="106" w:line="264" w:lineRule="exact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6"/>
                <w:w w:val="109"/>
              </w:rPr>
              <w:t>0.2</w:t>
            </w:r>
            <w:r>
              <w:rPr>
                <w:sz w:val="20"/>
                <w:szCs w:val="20"/>
                <w:spacing w:val="16"/>
                <w:w w:val="109"/>
              </w:rPr>
              <w:t>~</w:t>
            </w:r>
          </w:p>
        </w:tc>
        <w:tc>
          <w:tcPr>
            <w:tcW w:w="188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89"/>
              <w:spacing w:before="127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合计</w:t>
            </w:r>
          </w:p>
        </w:tc>
      </w:tr>
      <w:tr>
        <w:trPr>
          <w:trHeight w:val="385" w:hRule="atLeast"/>
        </w:trPr>
        <w:tc>
          <w:tcPr>
            <w:tcW w:w="1764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21"/>
              <w:spacing w:before="88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7"/>
              </w:rPr>
              <w:t>样品个数</w:t>
            </w:r>
          </w:p>
        </w:tc>
        <w:tc>
          <w:tcPr>
            <w:tcW w:w="1131" w:type="dxa"/>
            <w:vAlign w:val="top"/>
            <w:tcBorders>
              <w:top w:val="single" w:color="000000" w:sz="2" w:space="0"/>
            </w:tcBorders>
          </w:tcPr>
          <w:p>
            <w:pPr>
              <w:ind w:left="191"/>
              <w:spacing w:before="13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25</w:t>
            </w:r>
          </w:p>
        </w:tc>
        <w:tc>
          <w:tcPr>
            <w:tcW w:w="1467" w:type="dxa"/>
            <w:vAlign w:val="top"/>
            <w:tcBorders>
              <w:top w:val="single" w:color="000000" w:sz="2" w:space="0"/>
            </w:tcBorders>
          </w:tcPr>
          <w:p>
            <w:pPr>
              <w:ind w:left="498"/>
              <w:spacing w:before="13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>10</w:t>
            </w:r>
          </w:p>
        </w:tc>
        <w:tc>
          <w:tcPr>
            <w:tcW w:w="1368" w:type="dxa"/>
            <w:vAlign w:val="top"/>
            <w:tcBorders>
              <w:top w:val="single" w:color="000000" w:sz="2" w:space="0"/>
            </w:tcBorders>
          </w:tcPr>
          <w:p>
            <w:pPr>
              <w:ind w:left="438"/>
              <w:spacing w:before="13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1416" w:type="dxa"/>
            <w:vAlign w:val="top"/>
            <w:tcBorders>
              <w:top w:val="single" w:color="000000" w:sz="2" w:space="0"/>
            </w:tcBorders>
          </w:tcPr>
          <w:p>
            <w:pPr>
              <w:ind w:left="500"/>
              <w:spacing w:before="13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884" w:type="dxa"/>
            <w:vAlign w:val="top"/>
            <w:tcBorders>
              <w:top w:val="single" w:color="000000" w:sz="2" w:space="0"/>
            </w:tcBorders>
          </w:tcPr>
          <w:p>
            <w:pPr>
              <w:ind w:left="484"/>
              <w:spacing w:before="13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44</w:t>
            </w:r>
          </w:p>
        </w:tc>
      </w:tr>
      <w:tr>
        <w:trPr>
          <w:trHeight w:val="388" w:hRule="atLeast"/>
        </w:trPr>
        <w:tc>
          <w:tcPr>
            <w:tcW w:w="1764" w:type="dxa"/>
            <w:vAlign w:val="top"/>
          </w:tcPr>
          <w:p>
            <w:pPr>
              <w:pStyle w:val="TableText"/>
              <w:ind w:left="29"/>
              <w:spacing w:before="92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7"/>
              </w:rPr>
              <w:t>百分比 (%)</w:t>
            </w:r>
          </w:p>
        </w:tc>
        <w:tc>
          <w:tcPr>
            <w:tcW w:w="1131" w:type="dxa"/>
            <w:vAlign w:val="top"/>
          </w:tcPr>
          <w:p>
            <w:pPr>
              <w:ind w:left="196"/>
              <w:spacing w:before="14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56.82</w:t>
            </w:r>
          </w:p>
        </w:tc>
        <w:tc>
          <w:tcPr>
            <w:tcW w:w="1467" w:type="dxa"/>
            <w:vAlign w:val="top"/>
          </w:tcPr>
          <w:p>
            <w:pPr>
              <w:ind w:left="478"/>
              <w:spacing w:before="14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22.73</w:t>
            </w:r>
          </w:p>
        </w:tc>
        <w:tc>
          <w:tcPr>
            <w:tcW w:w="1368" w:type="dxa"/>
            <w:vAlign w:val="top"/>
          </w:tcPr>
          <w:p>
            <w:pPr>
              <w:ind w:left="450"/>
              <w:spacing w:before="14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18.18</w:t>
            </w:r>
          </w:p>
        </w:tc>
        <w:tc>
          <w:tcPr>
            <w:tcW w:w="1416" w:type="dxa"/>
            <w:vAlign w:val="top"/>
          </w:tcPr>
          <w:p>
            <w:pPr>
              <w:ind w:left="480"/>
              <w:spacing w:before="14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2.27</w:t>
            </w:r>
          </w:p>
        </w:tc>
        <w:tc>
          <w:tcPr>
            <w:tcW w:w="1884" w:type="dxa"/>
            <w:vAlign w:val="top"/>
          </w:tcPr>
          <w:p>
            <w:pPr>
              <w:ind w:left="505"/>
              <w:spacing w:before="14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100</w:t>
            </w:r>
          </w:p>
        </w:tc>
      </w:tr>
      <w:tr>
        <w:trPr>
          <w:trHeight w:val="402" w:hRule="atLeast"/>
        </w:trPr>
        <w:tc>
          <w:tcPr>
            <w:tcW w:w="1764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30"/>
              <w:spacing w:before="96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5"/>
              </w:rPr>
              <w:t>累计百分比 (%)</w:t>
            </w:r>
          </w:p>
        </w:tc>
        <w:tc>
          <w:tcPr>
            <w:tcW w:w="1131" w:type="dxa"/>
            <w:vAlign w:val="top"/>
            <w:tcBorders>
              <w:bottom w:val="single" w:color="000000" w:sz="2" w:space="0"/>
            </w:tcBorders>
          </w:tcPr>
          <w:p>
            <w:pPr>
              <w:ind w:left="196"/>
              <w:spacing w:before="14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56.82</w:t>
            </w:r>
          </w:p>
        </w:tc>
        <w:tc>
          <w:tcPr>
            <w:tcW w:w="1467" w:type="dxa"/>
            <w:vAlign w:val="top"/>
            <w:tcBorders>
              <w:bottom w:val="single" w:color="000000" w:sz="2" w:space="0"/>
            </w:tcBorders>
          </w:tcPr>
          <w:p>
            <w:pPr>
              <w:ind w:left="481"/>
              <w:spacing w:before="14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79.55</w:t>
            </w:r>
          </w:p>
        </w:tc>
        <w:tc>
          <w:tcPr>
            <w:tcW w:w="1368" w:type="dxa"/>
            <w:vAlign w:val="top"/>
            <w:tcBorders>
              <w:bottom w:val="single" w:color="000000" w:sz="2" w:space="0"/>
            </w:tcBorders>
          </w:tcPr>
          <w:p>
            <w:pPr>
              <w:ind w:left="433"/>
              <w:spacing w:before="14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97.73</w:t>
            </w:r>
          </w:p>
        </w:tc>
        <w:tc>
          <w:tcPr>
            <w:tcW w:w="1416" w:type="dxa"/>
            <w:vAlign w:val="top"/>
            <w:tcBorders>
              <w:bottom w:val="single" w:color="000000" w:sz="2" w:space="0"/>
            </w:tcBorders>
          </w:tcPr>
          <w:p>
            <w:pPr>
              <w:ind w:left="500"/>
              <w:spacing w:before="13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100</w:t>
            </w:r>
          </w:p>
        </w:tc>
        <w:tc>
          <w:tcPr>
            <w:tcW w:w="1884" w:type="dxa"/>
            <w:vAlign w:val="top"/>
            <w:tcBorders>
              <w:bottom w:val="single" w:color="000000" w:sz="2" w:space="0"/>
            </w:tcBorders>
          </w:tcPr>
          <w:p>
            <w:pPr>
              <w:ind w:left="505"/>
              <w:spacing w:before="16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100</w:t>
            </w:r>
          </w:p>
        </w:tc>
      </w:tr>
    </w:tbl>
    <w:p>
      <w:pPr>
        <w:ind w:left="368" w:right="361" w:firstLine="561"/>
        <w:spacing w:before="208" w:line="292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标准限量值的制定：《关于党参等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9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种新增按照传统既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是食品又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9"/>
        </w:rPr>
        <w:t>是中药材的物质公告》</w:t>
      </w:r>
      <w:r>
        <w:rPr>
          <w:rFonts w:ascii="FangSong_GB2312" w:hAnsi="FangSong_GB2312" w:eastAsia="FangSong_GB2312" w:cs="FangSong_GB2312"/>
          <w:sz w:val="28"/>
          <w:szCs w:val="28"/>
          <w:spacing w:val="-8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9"/>
        </w:rPr>
        <w:t>、广东省《食品安全地方标准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9"/>
        </w:rPr>
        <w:t>铁皮石斛》</w:t>
      </w:r>
    </w:p>
    <w:p>
      <w:pPr>
        <w:ind w:left="362" w:right="361"/>
        <w:spacing w:before="236" w:line="367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14"/>
        </w:rPr>
        <w:t>（</w:t>
      </w:r>
      <w:r>
        <w:rPr>
          <w:rFonts w:ascii="Times New Roman" w:hAnsi="Times New Roman" w:eastAsia="Times New Roman" w:cs="Times New Roman"/>
          <w:sz w:val="28"/>
          <w:szCs w:val="28"/>
        </w:rPr>
        <w:t>DBS</w:t>
      </w:r>
      <w:r>
        <w:rPr>
          <w:rFonts w:ascii="Times New Roman" w:hAnsi="Times New Roman" w:eastAsia="Times New Roman" w:cs="Times New Roman"/>
          <w:sz w:val="28"/>
          <w:szCs w:val="28"/>
          <w:spacing w:val="14"/>
        </w:rPr>
        <w:t>44/023-2024</w:t>
      </w:r>
      <w:r>
        <w:rPr>
          <w:rFonts w:ascii="Times New Roman" w:hAnsi="Times New Roman" w:eastAsia="Times New Roman" w:cs="Times New Roman"/>
          <w:sz w:val="28"/>
          <w:szCs w:val="28"/>
          <w:spacing w:val="-4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4"/>
        </w:rPr>
        <w:t>）</w:t>
      </w:r>
      <w:r>
        <w:rPr>
          <w:rFonts w:ascii="FangSong_GB2312" w:hAnsi="FangSong_GB2312" w:eastAsia="FangSong_GB2312" w:cs="FangSong_GB2312"/>
          <w:sz w:val="28"/>
          <w:szCs w:val="28"/>
          <w:spacing w:val="-8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4"/>
        </w:rPr>
        <w:t>、湖南省《食品安全地方标</w:t>
      </w:r>
      <w:r>
        <w:rPr>
          <w:rFonts w:ascii="FangSong_GB2312" w:hAnsi="FangSong_GB2312" w:eastAsia="FangSong_GB2312" w:cs="FangSong_GB2312"/>
          <w:sz w:val="28"/>
          <w:szCs w:val="28"/>
          <w:spacing w:val="13"/>
        </w:rPr>
        <w:t>准</w:t>
      </w:r>
      <w:r>
        <w:rPr>
          <w:rFonts w:ascii="FangSong_GB2312" w:hAnsi="FangSong_GB2312" w:eastAsia="FangSong_GB2312" w:cs="FangSong_GB2312"/>
          <w:sz w:val="28"/>
          <w:szCs w:val="28"/>
          <w:spacing w:val="6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3"/>
        </w:rPr>
        <w:t>铁皮石斛》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</w:rPr>
        <w:t>DBS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43/013-2022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）广西壮族自治区《食品安全地方标准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铁皮石斛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茎（干制品）》（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DBS45/071-2021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）、贵州省《食品安全地方标准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铁</w:t>
      </w:r>
    </w:p>
    <w:p>
      <w:pPr>
        <w:spacing w:line="367" w:lineRule="auto"/>
        <w:sectPr>
          <w:footerReference w:type="default" r:id="rId21"/>
          <w:pgSz w:w="11906" w:h="16839"/>
          <w:pgMar w:top="400" w:right="1437" w:bottom="1362" w:left="1438" w:header="0" w:footer="1200" w:gutter="0"/>
        </w:sectPr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397" w:right="272" w:firstLine="8"/>
        <w:spacing w:before="91" w:line="366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皮石斛茎》（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DBS52/ 048-2020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）中规定铁皮石斛茎合格品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铅含量≤</w:t>
      </w:r>
      <w:r>
        <w:rPr>
          <w:rFonts w:ascii="FangSong_GB2312" w:hAnsi="FangSong_GB2312" w:eastAsia="FangSong_GB2312" w:cs="FangSong_GB2312"/>
          <w:sz w:val="28"/>
          <w:szCs w:val="28"/>
          <w:spacing w:val="-11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eastAsia="Times New Roman" w:cs="Times New Roman"/>
          <w:sz w:val="28"/>
          <w:szCs w:val="28"/>
        </w:rPr>
        <w:t>mg/kg</w:t>
      </w:r>
      <w:r>
        <w:rPr>
          <w:rFonts w:ascii="FangSong_GB2312" w:hAnsi="FangSong_GB2312" w:eastAsia="FangSong_GB2312" w:cs="FangSong_GB2312"/>
          <w:sz w:val="28"/>
          <w:szCs w:val="28"/>
        </w:rPr>
        <w:t>；云南省《食品安全地方标准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铁皮石斛》（</w:t>
      </w:r>
      <w:r>
        <w:rPr>
          <w:rFonts w:ascii="Times New Roman" w:hAnsi="Times New Roman" w:eastAsia="Times New Roman" w:cs="Times New Roman"/>
          <w:sz w:val="28"/>
          <w:szCs w:val="28"/>
        </w:rPr>
        <w:t>DBS53/035-202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）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（</w:t>
      </w:r>
      <w:r>
        <w:rPr>
          <w:rFonts w:ascii="FangSong_GB2312" w:hAnsi="FangSong_GB2312" w:eastAsia="FangSong_GB2312" w:cs="FangSong_GB2312"/>
          <w:sz w:val="28"/>
          <w:szCs w:val="28"/>
          <w:spacing w:val="-7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已废止）中规定，铁皮石斛茎合格品铅含量≤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0.5 mg/kg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。</w:t>
      </w:r>
    </w:p>
    <w:p>
      <w:pPr>
        <w:ind w:left="979"/>
        <w:spacing w:before="16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综合参考铁皮石斛铅的标准，并结合项目组前期检测数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据和铁皮</w:t>
      </w:r>
    </w:p>
    <w:p>
      <w:pPr>
        <w:ind w:left="414" w:right="398" w:firstLine="4"/>
        <w:spacing w:before="233" w:line="358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</w:rPr>
        <w:t>石斛的实际情况，本标准中限定了合格品中铅含量≤</w:t>
      </w:r>
      <w:r>
        <w:rPr>
          <w:rFonts w:ascii="FangSong_GB2312" w:hAnsi="FangSong_GB2312" w:eastAsia="FangSong_GB2312" w:cs="FangSong_GB2312"/>
          <w:sz w:val="28"/>
          <w:szCs w:val="28"/>
          <w:spacing w:val="-9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1 mg/kg</w:t>
      </w:r>
      <w:r>
        <w:rPr>
          <w:rFonts w:ascii="Times New Roman" w:hAnsi="Times New Roman" w:eastAsia="Times New Roman" w:cs="Times New Roman"/>
          <w:sz w:val="28"/>
          <w:szCs w:val="28"/>
          <w:spacing w:val="-3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。该限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量与公告中的指标一致。</w:t>
      </w:r>
    </w:p>
    <w:p>
      <w:pPr>
        <w:ind w:left="968"/>
        <w:spacing w:before="36" w:line="216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6.2</w:t>
      </w:r>
      <w:r>
        <w:rPr>
          <w:rFonts w:ascii="Times New Roman" w:hAnsi="Times New Roman" w:eastAsia="Times New Roman" w:cs="Times New Roman"/>
          <w:sz w:val="28"/>
          <w:szCs w:val="28"/>
          <w:spacing w:val="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镉</w:t>
      </w:r>
    </w:p>
    <w:p>
      <w:pPr>
        <w:ind w:left="967"/>
        <w:spacing w:before="231" w:line="212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疾控</w:t>
      </w:r>
      <w:r>
        <w:rPr>
          <w:rFonts w:ascii="FangSong_GB2312" w:hAnsi="FangSong_GB2312" w:eastAsia="FangSong_GB2312" w:cs="FangSong_GB2312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44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件均符合，企业</w:t>
      </w:r>
      <w:r>
        <w:rPr>
          <w:rFonts w:ascii="FangSong_GB2312" w:hAnsi="FangSong_GB2312" w:eastAsia="FangSong_GB2312" w:cs="FangSong_GB2312"/>
          <w:sz w:val="28"/>
          <w:szCs w:val="28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93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件均小于</w:t>
      </w:r>
      <w:r>
        <w:rPr>
          <w:rFonts w:ascii="FangSong_GB2312" w:hAnsi="FangSong_GB2312" w:eastAsia="FangSong_GB2312" w:cs="FangSong_GB2312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0.5 mg/kg</w:t>
      </w:r>
      <w:r>
        <w:rPr>
          <w:rFonts w:ascii="Times New Roman" w:hAnsi="Times New Roman" w:eastAsia="Times New Roman" w:cs="Times New Roman"/>
          <w:sz w:val="28"/>
          <w:szCs w:val="28"/>
          <w:spacing w:val="-4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。参照相关标准，</w:t>
      </w:r>
    </w:p>
    <w:p>
      <w:pPr>
        <w:ind w:left="416"/>
        <w:spacing w:before="237" w:line="212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结合产品检测结果，本标准规镉（以</w:t>
      </w:r>
      <w:r>
        <w:rPr>
          <w:rFonts w:ascii="FangSong_GB2312" w:hAnsi="FangSong_GB2312" w:eastAsia="FangSong_GB2312" w:cs="FangSong_GB2312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Cd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计</w:t>
      </w:r>
      <w:r>
        <w:rPr>
          <w:rFonts w:ascii="FangSong_GB2312" w:hAnsi="FangSong_GB2312" w:eastAsia="FangSong_GB2312" w:cs="FangSong_GB2312"/>
          <w:sz w:val="28"/>
          <w:szCs w:val="28"/>
          <w:spacing w:val="5"/>
        </w:rPr>
        <w:t>），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(mg/kg)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≤ 0.5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。</w:t>
      </w:r>
    </w:p>
    <w:p>
      <w:pPr>
        <w:ind w:left="969"/>
        <w:spacing w:before="240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企业提供检测结果：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93</w:t>
      </w:r>
      <w:r>
        <w:rPr>
          <w:rFonts w:ascii="Times New Roman" w:hAnsi="Times New Roman" w:eastAsia="Times New Roman" w:cs="Times New Roman"/>
          <w:sz w:val="28"/>
          <w:szCs w:val="28"/>
          <w:spacing w:val="2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批次铁皮石斛叶中污染物镉的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检测含量</w:t>
      </w:r>
    </w:p>
    <w:p>
      <w:pPr>
        <w:ind w:left="405" w:right="396" w:firstLine="5"/>
        <w:spacing w:before="233" w:line="337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在</w:t>
      </w:r>
      <w:r>
        <w:rPr>
          <w:rFonts w:ascii="FangSong_GB2312" w:hAnsi="FangSong_GB2312" w:eastAsia="FangSong_GB2312" w:cs="FangSong_GB2312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0.06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～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0.50 mg/kg</w:t>
      </w:r>
      <w:r>
        <w:rPr>
          <w:rFonts w:ascii="Times New Roman" w:hAnsi="Times New Roman" w:eastAsia="Times New Roman" w:cs="Times New Roman"/>
          <w:sz w:val="28"/>
          <w:szCs w:val="28"/>
          <w:spacing w:val="3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间，均值</w:t>
      </w:r>
      <w:r>
        <w:rPr>
          <w:rFonts w:ascii="FangSong_GB2312" w:hAnsi="FangSong_GB2312" w:eastAsia="FangSong_GB2312" w:cs="FangSong_GB2312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199 mg/kg</w:t>
      </w:r>
      <w:r>
        <w:rPr>
          <w:rFonts w:ascii="Times New Roman" w:hAnsi="Times New Roman" w:eastAsia="Times New Roman" w:cs="Times New Roman"/>
          <w:sz w:val="28"/>
          <w:szCs w:val="28"/>
          <w:spacing w:val="-3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，中位数</w:t>
      </w:r>
      <w:r>
        <w:rPr>
          <w:rFonts w:ascii="FangSong_GB2312" w:hAnsi="FangSong_GB2312" w:eastAsia="FangSong_GB2312" w:cs="FangSong_GB2312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16mg/kg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。详见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表</w:t>
      </w:r>
      <w:r>
        <w:rPr>
          <w:rFonts w:ascii="FangSong_GB2312" w:hAnsi="FangSong_GB2312" w:eastAsia="FangSong_GB2312" w:cs="FangSong_GB2312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5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。</w:t>
      </w:r>
    </w:p>
    <w:p>
      <w:pPr>
        <w:ind w:left="3533"/>
        <w:spacing w:before="1" w:line="226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6"/>
        </w:rPr>
        <w:t>表</w:t>
      </w:r>
      <w:r>
        <w:rPr>
          <w:rFonts w:ascii="SimSun" w:hAnsi="SimSun" w:eastAsia="SimSun" w:cs="SimSun"/>
          <w:sz w:val="20"/>
          <w:szCs w:val="20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6"/>
        </w:rPr>
        <w:t>5    </w:t>
      </w:r>
      <w:r>
        <w:rPr>
          <w:rFonts w:ascii="SimSun" w:hAnsi="SimSun" w:eastAsia="SimSun" w:cs="SimSun"/>
          <w:sz w:val="20"/>
          <w:szCs w:val="20"/>
          <w:spacing w:val="6"/>
        </w:rPr>
        <w:t>企业提供镉检测结果</w:t>
      </w:r>
    </w:p>
    <w:p>
      <w:pPr>
        <w:spacing w:line="5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099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004"/>
        <w:gridCol w:w="1328"/>
        <w:gridCol w:w="1384"/>
        <w:gridCol w:w="1347"/>
        <w:gridCol w:w="1539"/>
        <w:gridCol w:w="1497"/>
      </w:tblGrid>
      <w:tr>
        <w:trPr>
          <w:trHeight w:val="438" w:hRule="atLeast"/>
        </w:trPr>
        <w:tc>
          <w:tcPr>
            <w:tcW w:w="200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3"/>
              <w:spacing w:before="14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9"/>
              </w:rPr>
              <w:t>检测值（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mg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9"/>
              </w:rPr>
              <w:t>/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kg</w:t>
            </w:r>
            <w:r>
              <w:rPr>
                <w:sz w:val="20"/>
                <w:szCs w:val="20"/>
                <w:spacing w:val="9"/>
              </w:rPr>
              <w:t>）</w:t>
            </w:r>
          </w:p>
        </w:tc>
        <w:tc>
          <w:tcPr>
            <w:tcW w:w="13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33"/>
              <w:spacing w:before="147" w:line="265" w:lineRule="exact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9"/>
                <w:w w:val="125"/>
              </w:rPr>
              <w:t>0</w:t>
            </w:r>
            <w:r>
              <w:rPr>
                <w:sz w:val="20"/>
                <w:szCs w:val="20"/>
                <w:spacing w:val="19"/>
                <w:w w:val="125"/>
              </w:rPr>
              <w:t>~</w:t>
            </w:r>
          </w:p>
        </w:tc>
        <w:tc>
          <w:tcPr>
            <w:tcW w:w="138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42"/>
              <w:spacing w:before="147" w:line="264" w:lineRule="exact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0"/>
              </w:rPr>
              <w:t>0.10</w:t>
            </w:r>
            <w:r>
              <w:rPr>
                <w:sz w:val="20"/>
                <w:szCs w:val="20"/>
                <w:spacing w:val="20"/>
              </w:rPr>
              <w:t>~</w:t>
            </w:r>
          </w:p>
        </w:tc>
        <w:tc>
          <w:tcPr>
            <w:tcW w:w="134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94"/>
              <w:spacing w:before="147" w:line="264" w:lineRule="exact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0"/>
              </w:rPr>
              <w:t>0.20</w:t>
            </w:r>
            <w:r>
              <w:rPr>
                <w:sz w:val="20"/>
                <w:szCs w:val="20"/>
                <w:spacing w:val="20"/>
              </w:rPr>
              <w:t>~</w:t>
            </w:r>
          </w:p>
        </w:tc>
        <w:tc>
          <w:tcPr>
            <w:tcW w:w="153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04"/>
              <w:spacing w:before="147" w:line="264" w:lineRule="exact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0"/>
              </w:rPr>
              <w:t>0.30</w:t>
            </w:r>
            <w:r>
              <w:rPr>
                <w:sz w:val="20"/>
                <w:szCs w:val="20"/>
                <w:spacing w:val="20"/>
              </w:rPr>
              <w:t>~</w:t>
            </w:r>
          </w:p>
        </w:tc>
        <w:tc>
          <w:tcPr>
            <w:tcW w:w="149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87"/>
              <w:spacing w:before="147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合计</w:t>
            </w:r>
          </w:p>
        </w:tc>
      </w:tr>
      <w:tr>
        <w:trPr>
          <w:trHeight w:val="385" w:hRule="atLeast"/>
        </w:trPr>
        <w:tc>
          <w:tcPr>
            <w:tcW w:w="2004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22"/>
              <w:spacing w:before="88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7"/>
              </w:rPr>
              <w:t>样品个数</w:t>
            </w:r>
          </w:p>
        </w:tc>
        <w:tc>
          <w:tcPr>
            <w:tcW w:w="1328" w:type="dxa"/>
            <w:vAlign w:val="top"/>
            <w:tcBorders>
              <w:top w:val="single" w:color="000000" w:sz="2" w:space="0"/>
            </w:tcBorders>
          </w:tcPr>
          <w:p>
            <w:pPr>
              <w:ind w:left="430"/>
              <w:spacing w:before="13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21</w:t>
            </w:r>
          </w:p>
        </w:tc>
        <w:tc>
          <w:tcPr>
            <w:tcW w:w="1384" w:type="dxa"/>
            <w:vAlign w:val="top"/>
            <w:tcBorders>
              <w:top w:val="single" w:color="000000" w:sz="2" w:space="0"/>
            </w:tcBorders>
          </w:tcPr>
          <w:p>
            <w:pPr>
              <w:ind w:left="443"/>
              <w:spacing w:before="13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1347" w:type="dxa"/>
            <w:vAlign w:val="top"/>
            <w:tcBorders>
              <w:top w:val="single" w:color="000000" w:sz="2" w:space="0"/>
            </w:tcBorders>
          </w:tcPr>
          <w:p>
            <w:pPr>
              <w:ind w:left="391"/>
              <w:spacing w:before="13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24</w:t>
            </w:r>
          </w:p>
        </w:tc>
        <w:tc>
          <w:tcPr>
            <w:tcW w:w="1539" w:type="dxa"/>
            <w:vAlign w:val="top"/>
            <w:tcBorders>
              <w:top w:val="single" w:color="000000" w:sz="2" w:space="0"/>
            </w:tcBorders>
          </w:tcPr>
          <w:p>
            <w:pPr>
              <w:ind w:left="401"/>
              <w:spacing w:before="13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>16</w:t>
            </w:r>
          </w:p>
        </w:tc>
        <w:tc>
          <w:tcPr>
            <w:tcW w:w="1497" w:type="dxa"/>
            <w:vAlign w:val="top"/>
            <w:tcBorders>
              <w:top w:val="single" w:color="000000" w:sz="2" w:space="0"/>
            </w:tcBorders>
          </w:tcPr>
          <w:p>
            <w:pPr>
              <w:ind w:left="183"/>
              <w:spacing w:before="13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93</w:t>
            </w:r>
          </w:p>
        </w:tc>
      </w:tr>
      <w:tr>
        <w:trPr>
          <w:trHeight w:val="388" w:hRule="atLeast"/>
        </w:trPr>
        <w:tc>
          <w:tcPr>
            <w:tcW w:w="2004" w:type="dxa"/>
            <w:vAlign w:val="top"/>
          </w:tcPr>
          <w:p>
            <w:pPr>
              <w:pStyle w:val="TableText"/>
              <w:ind w:left="30"/>
              <w:spacing w:before="92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7"/>
              </w:rPr>
              <w:t>百分比 (%)</w:t>
            </w:r>
          </w:p>
        </w:tc>
        <w:tc>
          <w:tcPr>
            <w:tcW w:w="1328" w:type="dxa"/>
            <w:vAlign w:val="top"/>
          </w:tcPr>
          <w:p>
            <w:pPr>
              <w:ind w:left="430"/>
              <w:spacing w:before="14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22.58</w:t>
            </w:r>
          </w:p>
        </w:tc>
        <w:tc>
          <w:tcPr>
            <w:tcW w:w="1384" w:type="dxa"/>
            <w:vAlign w:val="top"/>
          </w:tcPr>
          <w:p>
            <w:pPr>
              <w:ind w:left="443"/>
              <w:spacing w:before="14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34.41</w:t>
            </w:r>
          </w:p>
        </w:tc>
        <w:tc>
          <w:tcPr>
            <w:tcW w:w="1347" w:type="dxa"/>
            <w:vAlign w:val="top"/>
          </w:tcPr>
          <w:p>
            <w:pPr>
              <w:ind w:left="391"/>
              <w:spacing w:before="14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25.81</w:t>
            </w:r>
          </w:p>
        </w:tc>
        <w:tc>
          <w:tcPr>
            <w:tcW w:w="1539" w:type="dxa"/>
            <w:vAlign w:val="top"/>
          </w:tcPr>
          <w:p>
            <w:pPr>
              <w:ind w:left="401"/>
              <w:spacing w:before="14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17.20</w:t>
            </w:r>
          </w:p>
        </w:tc>
        <w:tc>
          <w:tcPr>
            <w:tcW w:w="1497" w:type="dxa"/>
            <w:vAlign w:val="top"/>
          </w:tcPr>
          <w:p>
            <w:pPr>
              <w:ind w:left="199"/>
              <w:spacing w:before="14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100</w:t>
            </w:r>
          </w:p>
        </w:tc>
      </w:tr>
      <w:tr>
        <w:trPr>
          <w:trHeight w:val="402" w:hRule="atLeast"/>
        </w:trPr>
        <w:tc>
          <w:tcPr>
            <w:tcW w:w="2004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31"/>
              <w:spacing w:before="96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5"/>
              </w:rPr>
              <w:t>累计百分比 (%)</w:t>
            </w:r>
          </w:p>
        </w:tc>
        <w:tc>
          <w:tcPr>
            <w:tcW w:w="1328" w:type="dxa"/>
            <w:vAlign w:val="top"/>
            <w:tcBorders>
              <w:bottom w:val="single" w:color="000000" w:sz="2" w:space="0"/>
            </w:tcBorders>
          </w:tcPr>
          <w:p>
            <w:pPr>
              <w:ind w:left="430"/>
              <w:spacing w:before="14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22.58</w:t>
            </w:r>
          </w:p>
        </w:tc>
        <w:tc>
          <w:tcPr>
            <w:tcW w:w="1384" w:type="dxa"/>
            <w:vAlign w:val="top"/>
            <w:tcBorders>
              <w:bottom w:val="single" w:color="000000" w:sz="2" w:space="0"/>
            </w:tcBorders>
          </w:tcPr>
          <w:p>
            <w:pPr>
              <w:ind w:left="444"/>
              <w:spacing w:before="14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56.99</w:t>
            </w:r>
          </w:p>
        </w:tc>
        <w:tc>
          <w:tcPr>
            <w:tcW w:w="1347" w:type="dxa"/>
            <w:vAlign w:val="top"/>
            <w:tcBorders>
              <w:bottom w:val="single" w:color="000000" w:sz="2" w:space="0"/>
            </w:tcBorders>
          </w:tcPr>
          <w:p>
            <w:pPr>
              <w:ind w:left="400"/>
              <w:spacing w:before="14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82.80</w:t>
            </w:r>
          </w:p>
        </w:tc>
        <w:tc>
          <w:tcPr>
            <w:tcW w:w="1539" w:type="dxa"/>
            <w:vAlign w:val="top"/>
            <w:tcBorders>
              <w:bottom w:val="single" w:color="000000" w:sz="2" w:space="0"/>
            </w:tcBorders>
          </w:tcPr>
          <w:p>
            <w:pPr>
              <w:ind w:left="401"/>
              <w:spacing w:before="14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100</w:t>
            </w:r>
          </w:p>
        </w:tc>
        <w:tc>
          <w:tcPr>
            <w:tcW w:w="1497" w:type="dxa"/>
            <w:vAlign w:val="top"/>
            <w:tcBorders>
              <w:bottom w:val="single" w:color="000000" w:sz="2" w:space="0"/>
            </w:tcBorders>
          </w:tcPr>
          <w:p>
            <w:pPr>
              <w:ind w:left="199"/>
              <w:spacing w:before="16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100</w:t>
            </w:r>
          </w:p>
        </w:tc>
      </w:tr>
    </w:tbl>
    <w:p>
      <w:pPr>
        <w:ind w:left="415" w:right="396" w:firstLine="554"/>
        <w:spacing w:before="173" w:line="397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项目组检测结果：项目组对</w:t>
      </w:r>
      <w:r>
        <w:rPr>
          <w:rFonts w:ascii="FangSong_GB2312" w:hAnsi="FangSong_GB2312" w:eastAsia="FangSong_GB2312" w:cs="FangSong_GB2312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44</w:t>
      </w:r>
      <w:r>
        <w:rPr>
          <w:rFonts w:ascii="Times New Roman" w:hAnsi="Times New Roman" w:eastAsia="Times New Roman" w:cs="Times New Roman"/>
          <w:sz w:val="28"/>
          <w:szCs w:val="28"/>
          <w:spacing w:val="1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批次铁皮石斛茎进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行了镉含量检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测，镉含量结果为</w:t>
      </w:r>
      <w:r>
        <w:rPr>
          <w:rFonts w:ascii="FangSong_GB2312" w:hAnsi="FangSong_GB2312" w:eastAsia="FangSong_GB2312" w:cs="FangSong_GB2312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0.00702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～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18 m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g/kg</w:t>
      </w:r>
      <w:r>
        <w:rPr>
          <w:rFonts w:ascii="Times New Roman" w:hAnsi="Times New Roman" w:eastAsia="Times New Roman" w:cs="Times New Roman"/>
          <w:sz w:val="28"/>
          <w:szCs w:val="28"/>
          <w:spacing w:val="-3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，均值为</w:t>
      </w:r>
      <w:r>
        <w:rPr>
          <w:rFonts w:ascii="FangSong_GB2312" w:hAnsi="FangSong_GB2312" w:eastAsia="FangSong_GB2312" w:cs="FangSong_GB2312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0.0395 mg/kg</w:t>
      </w:r>
      <w:r>
        <w:rPr>
          <w:rFonts w:ascii="Times New Roman" w:hAnsi="Times New Roman" w:eastAsia="Times New Roman" w:cs="Times New Roman"/>
          <w:sz w:val="28"/>
          <w:szCs w:val="28"/>
          <w:spacing w:val="-3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，中位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数</w:t>
      </w:r>
      <w:r>
        <w:rPr>
          <w:rFonts w:ascii="FangSong_GB2312" w:hAnsi="FangSong_GB2312" w:eastAsia="FangSong_GB2312" w:cs="FangSong_GB2312"/>
          <w:sz w:val="28"/>
          <w:szCs w:val="28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0.02515 mg/kg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。详见表</w:t>
      </w:r>
      <w:r>
        <w:rPr>
          <w:rFonts w:ascii="FangSong_GB2312" w:hAnsi="FangSong_GB2312" w:eastAsia="FangSong_GB2312" w:cs="FangSong_GB2312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6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。</w:t>
      </w:r>
    </w:p>
    <w:p>
      <w:pPr>
        <w:ind w:left="3637"/>
        <w:spacing w:before="1" w:line="227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6"/>
        </w:rPr>
        <w:t>表</w:t>
      </w:r>
      <w:r>
        <w:rPr>
          <w:rFonts w:ascii="SimSun" w:hAnsi="SimSun" w:eastAsia="SimSun" w:cs="SimSun"/>
          <w:sz w:val="20"/>
          <w:szCs w:val="20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6"/>
        </w:rPr>
        <w:t>6    </w:t>
      </w:r>
      <w:r>
        <w:rPr>
          <w:rFonts w:ascii="SimSun" w:hAnsi="SimSun" w:eastAsia="SimSun" w:cs="SimSun"/>
          <w:sz w:val="20"/>
          <w:szCs w:val="20"/>
          <w:spacing w:val="6"/>
        </w:rPr>
        <w:t>项目组检测镉结果</w:t>
      </w:r>
    </w:p>
    <w:p>
      <w:pPr>
        <w:spacing w:line="64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099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825"/>
        <w:gridCol w:w="1101"/>
        <w:gridCol w:w="1209"/>
        <w:gridCol w:w="1209"/>
        <w:gridCol w:w="1080"/>
        <w:gridCol w:w="1298"/>
        <w:gridCol w:w="1377"/>
      </w:tblGrid>
      <w:tr>
        <w:trPr>
          <w:trHeight w:val="399" w:hRule="atLeast"/>
        </w:trPr>
        <w:tc>
          <w:tcPr>
            <w:tcW w:w="182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3"/>
              <w:spacing w:before="1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9"/>
              </w:rPr>
              <w:t>检测值（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mg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9"/>
              </w:rPr>
              <w:t>/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kg</w:t>
            </w:r>
            <w:r>
              <w:rPr>
                <w:sz w:val="20"/>
                <w:szCs w:val="20"/>
                <w:spacing w:val="9"/>
              </w:rPr>
              <w:t>）</w:t>
            </w:r>
          </w:p>
        </w:tc>
        <w:tc>
          <w:tcPr>
            <w:tcW w:w="110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69"/>
              <w:spacing w:before="128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9"/>
                <w:w w:val="125"/>
              </w:rPr>
              <w:t>0</w:t>
            </w:r>
            <w:r>
              <w:rPr>
                <w:sz w:val="20"/>
                <w:szCs w:val="20"/>
                <w:spacing w:val="19"/>
                <w:w w:val="125"/>
              </w:rPr>
              <w:t>~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14"/>
              <w:spacing w:before="128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9"/>
              </w:rPr>
              <w:t>0.02</w:t>
            </w:r>
            <w:r>
              <w:rPr>
                <w:sz w:val="20"/>
                <w:szCs w:val="20"/>
                <w:spacing w:val="19"/>
              </w:rPr>
              <w:t>~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17"/>
              <w:spacing w:before="128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9"/>
              </w:rPr>
              <w:t>0.04</w:t>
            </w:r>
            <w:r>
              <w:rPr>
                <w:sz w:val="20"/>
                <w:szCs w:val="20"/>
                <w:spacing w:val="19"/>
              </w:rPr>
              <w:t>~</w:t>
            </w:r>
          </w:p>
        </w:tc>
        <w:tc>
          <w:tcPr>
            <w:tcW w:w="108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57"/>
              <w:spacing w:before="128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0"/>
              </w:rPr>
              <w:t>0.06</w:t>
            </w:r>
            <w:r>
              <w:rPr>
                <w:sz w:val="20"/>
                <w:szCs w:val="20"/>
                <w:spacing w:val="20"/>
              </w:rPr>
              <w:t>~</w:t>
            </w:r>
          </w:p>
        </w:tc>
        <w:tc>
          <w:tcPr>
            <w:tcW w:w="12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8"/>
              <w:spacing w:before="128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9"/>
              </w:rPr>
              <w:t>0.10</w:t>
            </w:r>
            <w:r>
              <w:rPr>
                <w:sz w:val="20"/>
                <w:szCs w:val="20"/>
                <w:spacing w:val="19"/>
              </w:rPr>
              <w:t>~</w:t>
            </w:r>
          </w:p>
        </w:tc>
        <w:tc>
          <w:tcPr>
            <w:tcW w:w="137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79"/>
              <w:spacing w:before="129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合计</w:t>
            </w:r>
          </w:p>
        </w:tc>
      </w:tr>
      <w:tr>
        <w:trPr>
          <w:trHeight w:val="385" w:hRule="atLeast"/>
        </w:trPr>
        <w:tc>
          <w:tcPr>
            <w:tcW w:w="1825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22"/>
              <w:spacing w:before="87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7"/>
              </w:rPr>
              <w:t>样品个数</w:t>
            </w:r>
          </w:p>
        </w:tc>
        <w:tc>
          <w:tcPr>
            <w:tcW w:w="1101" w:type="dxa"/>
            <w:vAlign w:val="top"/>
            <w:tcBorders>
              <w:top w:val="single" w:color="000000" w:sz="2" w:space="0"/>
            </w:tcBorders>
          </w:tcPr>
          <w:p>
            <w:pPr>
              <w:ind w:left="266"/>
              <w:spacing w:before="13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>17</w:t>
            </w:r>
          </w:p>
        </w:tc>
        <w:tc>
          <w:tcPr>
            <w:tcW w:w="1209" w:type="dxa"/>
            <w:vAlign w:val="top"/>
            <w:tcBorders>
              <w:top w:val="single" w:color="000000" w:sz="2" w:space="0"/>
            </w:tcBorders>
          </w:tcPr>
          <w:p>
            <w:pPr>
              <w:ind w:left="159"/>
              <w:spacing w:before="13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>16</w:t>
            </w:r>
          </w:p>
        </w:tc>
        <w:tc>
          <w:tcPr>
            <w:tcW w:w="1209" w:type="dxa"/>
            <w:vAlign w:val="top"/>
            <w:tcBorders>
              <w:top w:val="single" w:color="000000" w:sz="2" w:space="0"/>
            </w:tcBorders>
          </w:tcPr>
          <w:p>
            <w:pPr>
              <w:ind w:left="146"/>
              <w:spacing w:before="13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080" w:type="dxa"/>
            <w:vAlign w:val="top"/>
            <w:tcBorders>
              <w:top w:val="single" w:color="000000" w:sz="2" w:space="0"/>
            </w:tcBorders>
          </w:tcPr>
          <w:p>
            <w:pPr>
              <w:ind w:left="144"/>
              <w:spacing w:before="13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4</w:t>
            </w:r>
          </w:p>
        </w:tc>
        <w:tc>
          <w:tcPr>
            <w:tcW w:w="1298" w:type="dxa"/>
            <w:vAlign w:val="top"/>
            <w:tcBorders>
              <w:top w:val="single" w:color="000000" w:sz="2" w:space="0"/>
            </w:tcBorders>
          </w:tcPr>
          <w:p>
            <w:pPr>
              <w:ind w:left="173"/>
              <w:spacing w:before="13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4</w:t>
            </w:r>
          </w:p>
        </w:tc>
        <w:tc>
          <w:tcPr>
            <w:tcW w:w="1377" w:type="dxa"/>
            <w:vAlign w:val="top"/>
            <w:tcBorders>
              <w:top w:val="single" w:color="000000" w:sz="2" w:space="0"/>
            </w:tcBorders>
          </w:tcPr>
          <w:p>
            <w:pPr>
              <w:ind w:left="363"/>
              <w:spacing w:before="13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44</w:t>
            </w:r>
          </w:p>
        </w:tc>
      </w:tr>
      <w:tr>
        <w:trPr>
          <w:trHeight w:val="388" w:hRule="atLeast"/>
        </w:trPr>
        <w:tc>
          <w:tcPr>
            <w:tcW w:w="1825" w:type="dxa"/>
            <w:vAlign w:val="top"/>
          </w:tcPr>
          <w:p>
            <w:pPr>
              <w:pStyle w:val="TableText"/>
              <w:ind w:left="30"/>
              <w:spacing w:before="94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7"/>
              </w:rPr>
              <w:t>百分比 (%)</w:t>
            </w:r>
          </w:p>
        </w:tc>
        <w:tc>
          <w:tcPr>
            <w:tcW w:w="1101" w:type="dxa"/>
            <w:vAlign w:val="top"/>
          </w:tcPr>
          <w:p>
            <w:pPr>
              <w:ind w:left="250"/>
              <w:spacing w:before="14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38.64</w:t>
            </w:r>
          </w:p>
        </w:tc>
        <w:tc>
          <w:tcPr>
            <w:tcW w:w="1209" w:type="dxa"/>
            <w:vAlign w:val="top"/>
          </w:tcPr>
          <w:p>
            <w:pPr>
              <w:ind w:left="143"/>
              <w:spacing w:before="14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36.36</w:t>
            </w:r>
          </w:p>
        </w:tc>
        <w:tc>
          <w:tcPr>
            <w:tcW w:w="1209" w:type="dxa"/>
            <w:vAlign w:val="top"/>
          </w:tcPr>
          <w:p>
            <w:pPr>
              <w:ind w:left="146"/>
              <w:spacing w:before="14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6.82</w:t>
            </w:r>
          </w:p>
        </w:tc>
        <w:tc>
          <w:tcPr>
            <w:tcW w:w="1080" w:type="dxa"/>
            <w:vAlign w:val="top"/>
          </w:tcPr>
          <w:p>
            <w:pPr>
              <w:ind w:left="149"/>
              <w:spacing w:before="14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9.09</w:t>
            </w:r>
          </w:p>
        </w:tc>
        <w:tc>
          <w:tcPr>
            <w:tcW w:w="1298" w:type="dxa"/>
            <w:vAlign w:val="top"/>
          </w:tcPr>
          <w:p>
            <w:pPr>
              <w:ind w:left="178"/>
              <w:spacing w:before="14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9.09</w:t>
            </w:r>
          </w:p>
        </w:tc>
        <w:tc>
          <w:tcPr>
            <w:tcW w:w="1377" w:type="dxa"/>
            <w:vAlign w:val="top"/>
          </w:tcPr>
          <w:p>
            <w:pPr>
              <w:ind w:left="384"/>
              <w:spacing w:before="14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100</w:t>
            </w:r>
          </w:p>
        </w:tc>
      </w:tr>
      <w:tr>
        <w:trPr>
          <w:trHeight w:val="402" w:hRule="atLeast"/>
        </w:trPr>
        <w:tc>
          <w:tcPr>
            <w:tcW w:w="1825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31"/>
              <w:spacing w:before="94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5"/>
              </w:rPr>
              <w:t>累计百分比 (%)</w:t>
            </w:r>
          </w:p>
        </w:tc>
        <w:tc>
          <w:tcPr>
            <w:tcW w:w="1101" w:type="dxa"/>
            <w:vAlign w:val="top"/>
            <w:tcBorders>
              <w:bottom w:val="single" w:color="000000" w:sz="2" w:space="0"/>
            </w:tcBorders>
          </w:tcPr>
          <w:p>
            <w:pPr>
              <w:ind w:left="250"/>
              <w:spacing w:before="14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38.64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</w:tcBorders>
          </w:tcPr>
          <w:p>
            <w:pPr>
              <w:ind w:left="142"/>
              <w:spacing w:before="14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75.00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</w:tcBorders>
          </w:tcPr>
          <w:p>
            <w:pPr>
              <w:ind w:left="150"/>
              <w:spacing w:before="14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81.82</w:t>
            </w:r>
          </w:p>
        </w:tc>
        <w:tc>
          <w:tcPr>
            <w:tcW w:w="1080" w:type="dxa"/>
            <w:vAlign w:val="top"/>
            <w:tcBorders>
              <w:bottom w:val="single" w:color="000000" w:sz="2" w:space="0"/>
            </w:tcBorders>
          </w:tcPr>
          <w:p>
            <w:pPr>
              <w:ind w:left="149"/>
              <w:spacing w:before="14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90.91</w:t>
            </w:r>
          </w:p>
        </w:tc>
        <w:tc>
          <w:tcPr>
            <w:tcW w:w="1298" w:type="dxa"/>
            <w:vAlign w:val="top"/>
            <w:tcBorders>
              <w:bottom w:val="single" w:color="000000" w:sz="2" w:space="0"/>
            </w:tcBorders>
          </w:tcPr>
          <w:p>
            <w:pPr>
              <w:ind w:left="194"/>
              <w:spacing w:before="14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100</w:t>
            </w:r>
          </w:p>
        </w:tc>
        <w:tc>
          <w:tcPr>
            <w:tcW w:w="1377" w:type="dxa"/>
            <w:vAlign w:val="top"/>
            <w:tcBorders>
              <w:bottom w:val="single" w:color="000000" w:sz="2" w:space="0"/>
            </w:tcBorders>
          </w:tcPr>
          <w:p>
            <w:pPr>
              <w:ind w:left="384"/>
              <w:spacing w:before="16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100</w:t>
            </w:r>
          </w:p>
        </w:tc>
      </w:tr>
    </w:tbl>
    <w:p>
      <w:pPr>
        <w:ind w:left="403" w:right="396" w:firstLine="561"/>
        <w:spacing w:before="210" w:line="291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标准限量值的制定：《关于党参等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9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种新增按照传统既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是食品又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9"/>
        </w:rPr>
        <w:t>是中药材的物质公告》</w:t>
      </w:r>
      <w:r>
        <w:rPr>
          <w:rFonts w:ascii="FangSong_GB2312" w:hAnsi="FangSong_GB2312" w:eastAsia="FangSong_GB2312" w:cs="FangSong_GB2312"/>
          <w:sz w:val="28"/>
          <w:szCs w:val="28"/>
          <w:spacing w:val="-8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9"/>
        </w:rPr>
        <w:t>、广东省《食品安全地方标准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9"/>
        </w:rPr>
        <w:t>铁皮石斛》</w:t>
      </w:r>
    </w:p>
    <w:p>
      <w:pPr>
        <w:spacing w:line="291" w:lineRule="auto"/>
        <w:sectPr>
          <w:footerReference w:type="default" r:id="rId22"/>
          <w:pgSz w:w="11906" w:h="16839"/>
          <w:pgMar w:top="400" w:right="1403" w:bottom="1362" w:left="1403" w:header="0" w:footer="1200" w:gutter="0"/>
        </w:sectPr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14"/>
        <w:spacing w:before="91" w:line="36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14"/>
        </w:rPr>
        <w:t>（</w:t>
      </w:r>
      <w:r>
        <w:rPr>
          <w:rFonts w:ascii="Times New Roman" w:hAnsi="Times New Roman" w:eastAsia="Times New Roman" w:cs="Times New Roman"/>
          <w:sz w:val="28"/>
          <w:szCs w:val="28"/>
        </w:rPr>
        <w:t>DBS</w:t>
      </w:r>
      <w:r>
        <w:rPr>
          <w:rFonts w:ascii="Times New Roman" w:hAnsi="Times New Roman" w:eastAsia="Times New Roman" w:cs="Times New Roman"/>
          <w:sz w:val="28"/>
          <w:szCs w:val="28"/>
          <w:spacing w:val="14"/>
        </w:rPr>
        <w:t>44/023-2024</w:t>
      </w:r>
      <w:r>
        <w:rPr>
          <w:rFonts w:ascii="Times New Roman" w:hAnsi="Times New Roman" w:eastAsia="Times New Roman" w:cs="Times New Roman"/>
          <w:sz w:val="28"/>
          <w:szCs w:val="28"/>
          <w:spacing w:val="-4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4"/>
        </w:rPr>
        <w:t>）</w:t>
      </w:r>
      <w:r>
        <w:rPr>
          <w:rFonts w:ascii="FangSong_GB2312" w:hAnsi="FangSong_GB2312" w:eastAsia="FangSong_GB2312" w:cs="FangSong_GB2312"/>
          <w:sz w:val="28"/>
          <w:szCs w:val="28"/>
          <w:spacing w:val="-8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4"/>
        </w:rPr>
        <w:t>、湖南省《食品安全地方标</w:t>
      </w:r>
      <w:r>
        <w:rPr>
          <w:rFonts w:ascii="FangSong_GB2312" w:hAnsi="FangSong_GB2312" w:eastAsia="FangSong_GB2312" w:cs="FangSong_GB2312"/>
          <w:sz w:val="28"/>
          <w:szCs w:val="28"/>
          <w:spacing w:val="13"/>
        </w:rPr>
        <w:t>准</w:t>
      </w:r>
      <w:r>
        <w:rPr>
          <w:rFonts w:ascii="FangSong_GB2312" w:hAnsi="FangSong_GB2312" w:eastAsia="FangSong_GB2312" w:cs="FangSong_GB2312"/>
          <w:sz w:val="28"/>
          <w:szCs w:val="28"/>
          <w:spacing w:val="6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3"/>
        </w:rPr>
        <w:t>铁皮石斛》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</w:rPr>
        <w:t>DBS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43/013-2022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）广西壮族自治区《食品安全地方标准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铁皮石斛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 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茎（干制品）》（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DBS45/071-2021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）、贵州省《食品安全地方标准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铁</w:t>
      </w:r>
      <w:r>
        <w:rPr>
          <w:rFonts w:ascii="FangSong_GB2312" w:hAnsi="FangSong_GB2312" w:eastAsia="FangSong_GB2312" w:cs="FangSong_GB2312"/>
          <w:sz w:val="28"/>
          <w:szCs w:val="28"/>
          <w:spacing w:val="7"/>
        </w:rPr>
        <w:t xml:space="preserve">  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皮石斛茎》（</w:t>
      </w:r>
      <w:r>
        <w:rPr>
          <w:rFonts w:ascii="Times New Roman" w:hAnsi="Times New Roman" w:eastAsia="Times New Roman" w:cs="Times New Roman"/>
          <w:sz w:val="28"/>
          <w:szCs w:val="28"/>
        </w:rPr>
        <w:t>DBS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52/ 048-2020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）中规定铁皮石斛茎合格品镉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含量≤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0.5 mg/kg</w:t>
      </w:r>
      <w:r>
        <w:rPr>
          <w:rFonts w:ascii="FangSong_GB2312" w:hAnsi="FangSong_GB2312" w:eastAsia="FangSong_GB2312" w:cs="FangSong_GB2312"/>
          <w:sz w:val="28"/>
          <w:szCs w:val="28"/>
          <w:spacing w:val="-9"/>
        </w:rPr>
        <w:t>；云南省《食品安全地方标准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-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9"/>
        </w:rPr>
        <w:t>铁皮石斛》（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DBS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53/035-2022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）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（</w:t>
      </w:r>
      <w:r>
        <w:rPr>
          <w:rFonts w:ascii="FangSong_GB2312" w:hAnsi="FangSong_GB2312" w:eastAsia="FangSong_GB2312" w:cs="FangSong_GB2312"/>
          <w:sz w:val="28"/>
          <w:szCs w:val="28"/>
          <w:spacing w:val="-7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已废止）中规定，铁皮石斛茎合格品镉含量≤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0.2 mg/kg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。</w:t>
      </w:r>
    </w:p>
    <w:p>
      <w:pPr>
        <w:ind w:left="596"/>
        <w:spacing w:before="1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综合参考铁皮石斛镉的标准，并结合项目组前期检测数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据和铁皮</w:t>
      </w:r>
    </w:p>
    <w:p>
      <w:pPr>
        <w:ind w:left="31" w:right="138" w:firstLine="4"/>
        <w:spacing w:before="233" w:line="358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石斛的实际情况，本标准中限定了合格品中镉含量≤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0.5 mg/kg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。该限</w:t>
      </w:r>
      <w:r>
        <w:rPr>
          <w:rFonts w:ascii="FangSong_GB2312" w:hAnsi="FangSong_GB2312" w:eastAsia="FangSong_GB2312" w:cs="FangSong_GB2312"/>
          <w:sz w:val="28"/>
          <w:szCs w:val="28"/>
          <w:spacing w:val="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量与公告中的指标一致。</w:t>
      </w:r>
    </w:p>
    <w:p>
      <w:pPr>
        <w:ind w:left="585"/>
        <w:spacing w:before="36" w:line="221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6.3</w:t>
      </w:r>
      <w:r>
        <w:rPr>
          <w:rFonts w:ascii="Times New Roman" w:hAnsi="Times New Roman" w:eastAsia="Times New Roman" w:cs="Times New Roman"/>
          <w:sz w:val="28"/>
          <w:szCs w:val="28"/>
          <w:spacing w:val="1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汞</w:t>
      </w:r>
    </w:p>
    <w:p>
      <w:pPr>
        <w:ind w:left="28" w:right="141" w:firstLine="555"/>
        <w:spacing w:before="59" w:line="349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</w:rPr>
        <w:t>疾控</w:t>
      </w:r>
      <w:r>
        <w:rPr>
          <w:rFonts w:ascii="FangSong_GB2312" w:hAnsi="FangSong_GB2312" w:eastAsia="FangSong_GB2312" w:cs="FangSong_GB2312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44 </w:t>
      </w:r>
      <w:r>
        <w:rPr>
          <w:rFonts w:ascii="FangSong_GB2312" w:hAnsi="FangSong_GB2312" w:eastAsia="FangSong_GB2312" w:cs="FangSong_GB2312"/>
          <w:sz w:val="28"/>
          <w:szCs w:val="28"/>
        </w:rPr>
        <w:t>件、企业</w:t>
      </w:r>
      <w:r>
        <w:rPr>
          <w:rFonts w:ascii="FangSong_GB2312" w:hAnsi="FangSong_GB2312" w:eastAsia="FangSong_GB2312" w:cs="FangSong_GB2312"/>
          <w:sz w:val="28"/>
          <w:szCs w:val="28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170 </w:t>
      </w:r>
      <w:r>
        <w:rPr>
          <w:rFonts w:ascii="FangSong_GB2312" w:hAnsi="FangSong_GB2312" w:eastAsia="FangSong_GB2312" w:cs="FangSong_GB2312"/>
          <w:sz w:val="28"/>
          <w:szCs w:val="28"/>
        </w:rPr>
        <w:t>件均小于</w:t>
      </w:r>
      <w:r>
        <w:rPr>
          <w:rFonts w:ascii="FangSong_GB2312" w:hAnsi="FangSong_GB2312" w:eastAsia="FangSong_GB2312" w:cs="FangSong_GB2312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0.05 mg/kg</w:t>
      </w:r>
      <w:r>
        <w:rPr>
          <w:rFonts w:ascii="Times New Roman" w:hAnsi="Times New Roman" w:eastAsia="Times New Roman" w:cs="Times New Roman"/>
          <w:sz w:val="28"/>
          <w:szCs w:val="28"/>
          <w:spacing w:val="-3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。参照相关标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准，结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合产品检测结果，本标准规定总汞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(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以</w:t>
      </w:r>
      <w:r>
        <w:rPr>
          <w:rFonts w:ascii="FangSong_GB2312" w:hAnsi="FangSong_GB2312" w:eastAsia="FangSong_GB2312" w:cs="FangSong_GB2312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Hg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计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spacing w:val="-3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，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(mg/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kg)  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≤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0.05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。</w:t>
      </w:r>
    </w:p>
    <w:p>
      <w:pPr>
        <w:ind w:left="14" w:right="51" w:firstLine="567"/>
        <w:spacing w:before="199" w:line="368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标准限量值的制定：《关于党参等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9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种新增按照传统既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是食品又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9"/>
        </w:rPr>
        <w:t>是中药材的物质公告》</w:t>
      </w:r>
      <w:r>
        <w:rPr>
          <w:rFonts w:ascii="FangSong_GB2312" w:hAnsi="FangSong_GB2312" w:eastAsia="FangSong_GB2312" w:cs="FangSong_GB2312"/>
          <w:sz w:val="28"/>
          <w:szCs w:val="28"/>
          <w:spacing w:val="-7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9"/>
        </w:rPr>
        <w:t>、广东省《食品安全地方标准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9"/>
        </w:rPr>
        <w:t>铁皮石斛》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4"/>
        </w:rPr>
        <w:t>（</w:t>
      </w:r>
      <w:r>
        <w:rPr>
          <w:rFonts w:ascii="Times New Roman" w:hAnsi="Times New Roman" w:eastAsia="Times New Roman" w:cs="Times New Roman"/>
          <w:sz w:val="28"/>
          <w:szCs w:val="28"/>
        </w:rPr>
        <w:t>DBS</w:t>
      </w:r>
      <w:r>
        <w:rPr>
          <w:rFonts w:ascii="Times New Roman" w:hAnsi="Times New Roman" w:eastAsia="Times New Roman" w:cs="Times New Roman"/>
          <w:sz w:val="28"/>
          <w:szCs w:val="28"/>
          <w:spacing w:val="14"/>
        </w:rPr>
        <w:t>44/023-2024</w:t>
      </w:r>
      <w:r>
        <w:rPr>
          <w:rFonts w:ascii="Times New Roman" w:hAnsi="Times New Roman" w:eastAsia="Times New Roman" w:cs="Times New Roman"/>
          <w:sz w:val="28"/>
          <w:szCs w:val="28"/>
          <w:spacing w:val="-4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4"/>
        </w:rPr>
        <w:t>）</w:t>
      </w:r>
      <w:r>
        <w:rPr>
          <w:rFonts w:ascii="FangSong_GB2312" w:hAnsi="FangSong_GB2312" w:eastAsia="FangSong_GB2312" w:cs="FangSong_GB2312"/>
          <w:sz w:val="28"/>
          <w:szCs w:val="28"/>
          <w:spacing w:val="-8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4"/>
        </w:rPr>
        <w:t>、云南省《食品安全地方标</w:t>
      </w:r>
      <w:r>
        <w:rPr>
          <w:rFonts w:ascii="FangSong_GB2312" w:hAnsi="FangSong_GB2312" w:eastAsia="FangSong_GB2312" w:cs="FangSong_GB2312"/>
          <w:sz w:val="28"/>
          <w:szCs w:val="28"/>
          <w:spacing w:val="13"/>
        </w:rPr>
        <w:t>准</w:t>
      </w:r>
      <w:r>
        <w:rPr>
          <w:rFonts w:ascii="FangSong_GB2312" w:hAnsi="FangSong_GB2312" w:eastAsia="FangSong_GB2312" w:cs="FangSong_GB2312"/>
          <w:sz w:val="28"/>
          <w:szCs w:val="28"/>
          <w:spacing w:val="6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3"/>
        </w:rPr>
        <w:t>铁皮石斛》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DBS53/035-2022</w:t>
      </w:r>
      <w:r>
        <w:rPr>
          <w:rFonts w:ascii="FangSong_GB2312" w:hAnsi="FangSong_GB2312" w:eastAsia="FangSong_GB2312" w:cs="FangSong_GB2312"/>
          <w:sz w:val="28"/>
          <w:szCs w:val="28"/>
          <w:spacing w:val="-79"/>
        </w:rPr>
        <w:t>）（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已废止）中规定铁皮石斛茎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合格品汞含量≤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0.05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mg/kg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>；湖南省《食品安全地方标准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>铁皮石斛》（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DBS43/013-2022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>）、</w:t>
      </w:r>
      <w:r>
        <w:rPr>
          <w:rFonts w:ascii="FangSong_GB2312" w:hAnsi="FangSong_GB2312" w:eastAsia="FangSong_GB2312" w:cs="FangSong_GB2312"/>
          <w:sz w:val="28"/>
          <w:szCs w:val="28"/>
          <w:spacing w:val="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8"/>
        </w:rPr>
        <w:t>广西壮族自治</w:t>
      </w:r>
      <w:r>
        <w:rPr>
          <w:rFonts w:ascii="FangSong_GB2312" w:hAnsi="FangSong_GB2312" w:eastAsia="FangSong_GB2312" w:cs="FangSong_GB2312"/>
          <w:sz w:val="28"/>
          <w:szCs w:val="28"/>
          <w:spacing w:val="-6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8"/>
        </w:rPr>
        <w:t>区《食品安全地方标准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5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8"/>
        </w:rPr>
        <w:t>铁皮石斛茎（干制品）》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DBS45/071-2021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）中规定，铁皮石斛茎合格品汞含量</w:t>
      </w:r>
      <w:r>
        <w:rPr>
          <w:rFonts w:ascii="FangSong_GB2312" w:hAnsi="FangSong_GB2312" w:eastAsia="FangSong_GB2312" w:cs="FangSong_GB2312"/>
          <w:sz w:val="28"/>
          <w:szCs w:val="28"/>
          <w:spacing w:val="-6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≤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0.01 mg/kg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，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该两项标准的发布时间早于公告发布时间。</w:t>
      </w:r>
    </w:p>
    <w:p>
      <w:pPr>
        <w:ind w:left="585"/>
        <w:spacing w:before="10" w:line="218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6.4</w:t>
      </w:r>
      <w:r>
        <w:rPr>
          <w:rFonts w:ascii="Times New Roman" w:hAnsi="Times New Roman" w:eastAsia="Times New Roman" w:cs="Times New Roman"/>
          <w:sz w:val="28"/>
          <w:szCs w:val="28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砷</w:t>
      </w:r>
    </w:p>
    <w:p>
      <w:pPr>
        <w:ind w:left="586"/>
        <w:spacing w:before="232" w:line="210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疾控</w:t>
      </w:r>
      <w:r>
        <w:rPr>
          <w:rFonts w:ascii="FangSong_GB2312" w:hAnsi="FangSong_GB2312" w:eastAsia="FangSong_GB2312" w:cs="FangSong_GB2312"/>
          <w:sz w:val="28"/>
          <w:szCs w:val="28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44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件、企业</w:t>
      </w:r>
      <w:r>
        <w:rPr>
          <w:rFonts w:ascii="FangSong_GB2312" w:hAnsi="FangSong_GB2312" w:eastAsia="FangSong_GB2312" w:cs="FangSong_GB2312"/>
          <w:sz w:val="28"/>
          <w:szCs w:val="28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170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件均小于</w:t>
      </w:r>
      <w:r>
        <w:rPr>
          <w:rFonts w:ascii="FangSong_GB2312" w:hAnsi="FangSong_GB2312" w:eastAsia="FangSong_GB2312" w:cs="FangSong_GB2312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0.5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mg/kg</w:t>
      </w:r>
      <w:r>
        <w:rPr>
          <w:rFonts w:ascii="Times New Roman" w:hAnsi="Times New Roman" w:eastAsia="Times New Roman" w:cs="Times New Roman"/>
          <w:sz w:val="28"/>
          <w:szCs w:val="28"/>
          <w:spacing w:val="-4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。参照相关标准，结合</w:t>
      </w:r>
    </w:p>
    <w:p>
      <w:pPr>
        <w:ind w:left="25"/>
        <w:spacing w:before="240" w:line="212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产品检测结果，本标准规定总砷（以</w:t>
      </w:r>
      <w:r>
        <w:rPr>
          <w:rFonts w:ascii="FangSong_GB2312" w:hAnsi="FangSong_GB2312" w:eastAsia="FangSong_GB2312" w:cs="FangSong_GB2312"/>
          <w:sz w:val="28"/>
          <w:szCs w:val="28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As</w:t>
      </w:r>
      <w:r>
        <w:rPr>
          <w:rFonts w:ascii="Times New Roman" w:hAnsi="Times New Roman" w:eastAsia="Times New Roman" w:cs="Times New Roman"/>
          <w:sz w:val="28"/>
          <w:szCs w:val="28"/>
          <w:spacing w:val="1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计</w:t>
      </w:r>
      <w:r>
        <w:rPr>
          <w:rFonts w:ascii="FangSong_GB2312" w:hAnsi="FangSong_GB2312" w:eastAsia="FangSong_GB2312" w:cs="FangSong_GB2312"/>
          <w:sz w:val="28"/>
          <w:szCs w:val="28"/>
          <w:spacing w:val="5"/>
        </w:rPr>
        <w:t>），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mg/kg)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≤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0.5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。</w:t>
      </w:r>
    </w:p>
    <w:p>
      <w:pPr>
        <w:spacing w:line="212" w:lineRule="auto"/>
        <w:sectPr>
          <w:footerReference w:type="default" r:id="rId23"/>
          <w:pgSz w:w="11906" w:h="16839"/>
          <w:pgMar w:top="400" w:right="1660" w:bottom="1362" w:left="1785" w:header="0" w:footer="1200" w:gutter="0"/>
        </w:sectPr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20" w:right="13" w:firstLine="563"/>
        <w:spacing w:before="91" w:line="291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标准限量值的制定：《关于党参等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9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种新增按照传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统既是食品又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9"/>
        </w:rPr>
        <w:t>是中药材的物质公告》</w:t>
      </w:r>
      <w:r>
        <w:rPr>
          <w:rFonts w:ascii="FangSong_GB2312" w:hAnsi="FangSong_GB2312" w:eastAsia="FangSong_GB2312" w:cs="FangSong_GB2312"/>
          <w:sz w:val="28"/>
          <w:szCs w:val="28"/>
          <w:spacing w:val="-8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9"/>
        </w:rPr>
        <w:t>、广东省《食品安全地方标准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9"/>
        </w:rPr>
        <w:t>铁皮石斛》</w:t>
      </w:r>
    </w:p>
    <w:p>
      <w:pPr>
        <w:ind w:left="14" w:right="13"/>
        <w:spacing w:before="230" w:line="368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14"/>
        </w:rPr>
        <w:t>（</w:t>
      </w:r>
      <w:r>
        <w:rPr>
          <w:rFonts w:ascii="Times New Roman" w:hAnsi="Times New Roman" w:eastAsia="Times New Roman" w:cs="Times New Roman"/>
          <w:sz w:val="28"/>
          <w:szCs w:val="28"/>
        </w:rPr>
        <w:t>DBS</w:t>
      </w:r>
      <w:r>
        <w:rPr>
          <w:rFonts w:ascii="Times New Roman" w:hAnsi="Times New Roman" w:eastAsia="Times New Roman" w:cs="Times New Roman"/>
          <w:sz w:val="28"/>
          <w:szCs w:val="28"/>
          <w:spacing w:val="14"/>
        </w:rPr>
        <w:t>44/023-2024</w:t>
      </w:r>
      <w:r>
        <w:rPr>
          <w:rFonts w:ascii="Times New Roman" w:hAnsi="Times New Roman" w:eastAsia="Times New Roman" w:cs="Times New Roman"/>
          <w:sz w:val="28"/>
          <w:szCs w:val="28"/>
          <w:spacing w:val="-4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4"/>
        </w:rPr>
        <w:t>）</w:t>
      </w:r>
      <w:r>
        <w:rPr>
          <w:rFonts w:ascii="FangSong_GB2312" w:hAnsi="FangSong_GB2312" w:eastAsia="FangSong_GB2312" w:cs="FangSong_GB2312"/>
          <w:sz w:val="28"/>
          <w:szCs w:val="28"/>
          <w:spacing w:val="-8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4"/>
        </w:rPr>
        <w:t>、湖南省《食品安全地方标</w:t>
      </w:r>
      <w:r>
        <w:rPr>
          <w:rFonts w:ascii="FangSong_GB2312" w:hAnsi="FangSong_GB2312" w:eastAsia="FangSong_GB2312" w:cs="FangSong_GB2312"/>
          <w:sz w:val="28"/>
          <w:szCs w:val="28"/>
          <w:spacing w:val="13"/>
        </w:rPr>
        <w:t>准</w:t>
      </w:r>
      <w:r>
        <w:rPr>
          <w:rFonts w:ascii="FangSong_GB2312" w:hAnsi="FangSong_GB2312" w:eastAsia="FangSong_GB2312" w:cs="FangSong_GB2312"/>
          <w:sz w:val="28"/>
          <w:szCs w:val="28"/>
          <w:spacing w:val="6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3"/>
        </w:rPr>
        <w:t>铁皮石斛》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</w:rPr>
        <w:t>DBS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43/013-2022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）、广西壮族自治区《食品安全地方标</w:t>
      </w:r>
      <w:r>
        <w:rPr>
          <w:rFonts w:ascii="FangSong_GB2312" w:hAnsi="FangSong_GB2312" w:eastAsia="FangSong_GB2312" w:cs="FangSong_GB2312"/>
          <w:sz w:val="28"/>
          <w:szCs w:val="28"/>
        </w:rPr>
        <w:t>准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铁皮石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斛茎（干制品）》（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DBS45/071-2021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）、贵州省《食品安全地方标准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铁皮石斛茎》（</w:t>
      </w:r>
      <w:r>
        <w:rPr>
          <w:rFonts w:ascii="Times New Roman" w:hAnsi="Times New Roman" w:eastAsia="Times New Roman" w:cs="Times New Roman"/>
          <w:sz w:val="28"/>
          <w:szCs w:val="28"/>
        </w:rPr>
        <w:t>DBS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52/ 048-2020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）中规定铁皮石斛茎合格品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砷含量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≤</w:t>
      </w:r>
      <w:r>
        <w:rPr>
          <w:rFonts w:ascii="FangSong_GB2312" w:hAnsi="FangSong_GB2312" w:eastAsia="FangSong_GB2312" w:cs="FangSong_GB2312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0.5  mg/kg</w:t>
      </w:r>
      <w:r>
        <w:rPr>
          <w:rFonts w:ascii="Times New Roman" w:hAnsi="Times New Roman" w:eastAsia="Times New Roman" w:cs="Times New Roman"/>
          <w:sz w:val="28"/>
          <w:szCs w:val="28"/>
          <w:spacing w:val="36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；</w:t>
      </w:r>
      <w:r>
        <w:rPr>
          <w:rFonts w:ascii="FangSong_GB2312" w:hAnsi="FangSong_GB2312" w:eastAsia="FangSong_GB2312" w:cs="FangSong_GB2312"/>
          <w:sz w:val="28"/>
          <w:szCs w:val="28"/>
          <w:spacing w:val="-3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云</w:t>
      </w:r>
      <w:r>
        <w:rPr>
          <w:rFonts w:ascii="FangSong_GB2312" w:hAnsi="FangSong_GB2312" w:eastAsia="FangSong_GB2312" w:cs="FangSong_GB2312"/>
          <w:sz w:val="28"/>
          <w:szCs w:val="28"/>
          <w:spacing w:val="-3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南</w:t>
      </w:r>
      <w:r>
        <w:rPr>
          <w:rFonts w:ascii="FangSong_GB2312" w:hAnsi="FangSong_GB2312" w:eastAsia="FangSong_GB2312" w:cs="FangSong_GB2312"/>
          <w:sz w:val="28"/>
          <w:szCs w:val="28"/>
          <w:spacing w:val="-4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省</w:t>
      </w:r>
      <w:r>
        <w:rPr>
          <w:rFonts w:ascii="FangSong_GB2312" w:hAnsi="FangSong_GB2312" w:eastAsia="FangSong_GB2312" w:cs="FangSong_GB2312"/>
          <w:sz w:val="28"/>
          <w:szCs w:val="28"/>
          <w:spacing w:val="-5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《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食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品</w:t>
      </w:r>
      <w:r>
        <w:rPr>
          <w:rFonts w:ascii="FangSong_GB2312" w:hAnsi="FangSong_GB2312" w:eastAsia="FangSong_GB2312" w:cs="FangSong_GB2312"/>
          <w:sz w:val="28"/>
          <w:szCs w:val="28"/>
          <w:spacing w:val="-4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安</w:t>
      </w:r>
      <w:r>
        <w:rPr>
          <w:rFonts w:ascii="FangSong_GB2312" w:hAnsi="FangSong_GB2312" w:eastAsia="FangSong_GB2312" w:cs="FangSong_GB2312"/>
          <w:sz w:val="28"/>
          <w:szCs w:val="28"/>
          <w:spacing w:val="-5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全</w:t>
      </w:r>
      <w:r>
        <w:rPr>
          <w:rFonts w:ascii="FangSong_GB2312" w:hAnsi="FangSong_GB2312" w:eastAsia="FangSong_GB2312" w:cs="FangSong_GB2312"/>
          <w:sz w:val="28"/>
          <w:szCs w:val="28"/>
          <w:spacing w:val="-5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地</w:t>
      </w:r>
      <w:r>
        <w:rPr>
          <w:rFonts w:ascii="FangSong_GB2312" w:hAnsi="FangSong_GB2312" w:eastAsia="FangSong_GB2312" w:cs="FangSong_GB2312"/>
          <w:sz w:val="28"/>
          <w:szCs w:val="28"/>
          <w:spacing w:val="-4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方</w:t>
      </w:r>
      <w:r>
        <w:rPr>
          <w:rFonts w:ascii="FangSong_GB2312" w:hAnsi="FangSong_GB2312" w:eastAsia="FangSong_GB2312" w:cs="FangSong_GB2312"/>
          <w:sz w:val="28"/>
          <w:szCs w:val="28"/>
          <w:spacing w:val="-5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标</w:t>
      </w:r>
      <w:r>
        <w:rPr>
          <w:rFonts w:ascii="FangSong_GB2312" w:hAnsi="FangSong_GB2312" w:eastAsia="FangSong_GB2312" w:cs="FangSong_GB2312"/>
          <w:sz w:val="28"/>
          <w:szCs w:val="28"/>
          <w:spacing w:val="-4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准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 xml:space="preserve"> 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铁</w:t>
      </w:r>
      <w:r>
        <w:rPr>
          <w:rFonts w:ascii="FangSong_GB2312" w:hAnsi="FangSong_GB2312" w:eastAsia="FangSong_GB2312" w:cs="FangSong_GB2312"/>
          <w:sz w:val="28"/>
          <w:szCs w:val="28"/>
          <w:spacing w:val="-5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皮</w:t>
      </w:r>
      <w:r>
        <w:rPr>
          <w:rFonts w:ascii="FangSong_GB2312" w:hAnsi="FangSong_GB2312" w:eastAsia="FangSong_GB2312" w:cs="FangSong_GB2312"/>
          <w:sz w:val="28"/>
          <w:szCs w:val="28"/>
          <w:spacing w:val="-3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石</w:t>
      </w:r>
      <w:r>
        <w:rPr>
          <w:rFonts w:ascii="FangSong_GB2312" w:hAnsi="FangSong_GB2312" w:eastAsia="FangSong_GB2312" w:cs="FangSong_GB2312"/>
          <w:sz w:val="28"/>
          <w:szCs w:val="28"/>
          <w:spacing w:val="-4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斛</w:t>
      </w:r>
      <w:r>
        <w:rPr>
          <w:rFonts w:ascii="FangSong_GB2312" w:hAnsi="FangSong_GB2312" w:eastAsia="FangSong_GB2312" w:cs="FangSong_GB2312"/>
          <w:sz w:val="28"/>
          <w:szCs w:val="28"/>
          <w:spacing w:val="-4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》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DBS53/035-2022</w:t>
      </w:r>
      <w:r>
        <w:rPr>
          <w:rFonts w:ascii="FangSong_GB2312" w:hAnsi="FangSong_GB2312" w:eastAsia="FangSong_GB2312" w:cs="FangSong_GB2312"/>
          <w:sz w:val="28"/>
          <w:szCs w:val="28"/>
        </w:rPr>
        <w:t>）（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已废止）中规定，铁皮石斛茎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合格品汞含量≤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0.3 mg/kg</w:t>
      </w:r>
      <w:r>
        <w:rPr>
          <w:rFonts w:ascii="FangSong_GB2312" w:hAnsi="FangSong_GB2312" w:eastAsia="FangSong_GB2312" w:cs="FangSong_GB2312"/>
          <w:sz w:val="28"/>
          <w:szCs w:val="28"/>
        </w:rPr>
        <w:t>。</w:t>
      </w:r>
    </w:p>
    <w:p>
      <w:pPr>
        <w:ind w:left="583"/>
        <w:spacing w:before="176" w:line="227" w:lineRule="auto"/>
        <w:rPr>
          <w:rFonts w:ascii="KaiTi" w:hAnsi="KaiTi" w:eastAsia="KaiTi" w:cs="KaiTi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7. </w:t>
      </w:r>
      <w:r>
        <w:rPr>
          <w:rFonts w:ascii="KaiTi" w:hAnsi="KaiTi" w:eastAsia="KaiTi" w:cs="KaiTi"/>
          <w:sz w:val="28"/>
          <w:szCs w:val="28"/>
          <w:spacing w:val="-1"/>
        </w:rPr>
        <w:t>农药残留限量</w:t>
      </w:r>
    </w:p>
    <w:p>
      <w:pPr>
        <w:ind w:left="586"/>
        <w:spacing w:before="251" w:line="21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农药限量应符合</w:t>
      </w:r>
      <w:r>
        <w:rPr>
          <w:rFonts w:ascii="FangSong_GB2312" w:hAnsi="FangSong_GB2312" w:eastAsia="FangSong_GB2312" w:cs="FangSong_GB2312"/>
          <w:sz w:val="28"/>
          <w:szCs w:val="28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GB 2763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及农业农村部的相关规定。</w:t>
      </w:r>
    </w:p>
    <w:p>
      <w:pPr>
        <w:pStyle w:val="BodyText"/>
        <w:spacing w:line="445" w:lineRule="auto"/>
        <w:rPr/>
      </w:pPr>
      <w:r/>
    </w:p>
    <w:p>
      <w:pPr>
        <w:ind w:left="32"/>
        <w:spacing w:before="92" w:line="222" w:lineRule="auto"/>
        <w:outlineLvl w:val="0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2"/>
        </w:rPr>
        <w:t>五、征求意见的采纳情况</w:t>
      </w:r>
    </w:p>
    <w:p>
      <w:pPr>
        <w:pStyle w:val="BodyText"/>
        <w:spacing w:line="282" w:lineRule="auto"/>
        <w:rPr/>
      </w:pPr>
      <w:r/>
    </w:p>
    <w:p>
      <w:pPr>
        <w:ind w:left="29" w:right="13" w:firstLine="556"/>
        <w:spacing w:before="92" w:line="369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起草单位在提交专委会审查前，已向社会广泛征集意见，时间为</w:t>
      </w:r>
      <w:r>
        <w:rPr>
          <w:rFonts w:ascii="FangSong_GB2312" w:hAnsi="FangSong_GB2312" w:eastAsia="FangSong_GB2312" w:cs="FangSong_GB2312"/>
          <w:sz w:val="28"/>
          <w:szCs w:val="28"/>
          <w:spacing w:val="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期</w:t>
      </w:r>
      <w:r>
        <w:rPr>
          <w:rFonts w:ascii="FangSong_GB2312" w:hAnsi="FangSong_GB2312" w:eastAsia="FangSong_GB2312" w:cs="FangSong_GB2312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个月，未收到相关意见建议。</w:t>
      </w:r>
    </w:p>
    <w:p>
      <w:pPr>
        <w:ind w:left="33"/>
        <w:spacing w:before="160" w:line="222" w:lineRule="auto"/>
        <w:outlineLvl w:val="0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3"/>
        </w:rPr>
        <w:t>六、重大意见分歧</w:t>
      </w:r>
    </w:p>
    <w:p>
      <w:pPr>
        <w:ind w:left="448"/>
        <w:spacing w:before="302" w:line="22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7"/>
        </w:rPr>
        <w:t>暂无重大意见分歧。</w:t>
      </w:r>
    </w:p>
    <w:p>
      <w:pPr>
        <w:pStyle w:val="BodyText"/>
        <w:spacing w:line="358" w:lineRule="auto"/>
        <w:rPr/>
      </w:pPr>
      <w:r/>
    </w:p>
    <w:p>
      <w:pPr>
        <w:pStyle w:val="BodyText"/>
        <w:spacing w:line="359" w:lineRule="auto"/>
        <w:rPr/>
      </w:pPr>
      <w:r/>
    </w:p>
    <w:p>
      <w:pPr>
        <w:ind w:left="36"/>
        <w:spacing w:before="78" w:line="222" w:lineRule="auto"/>
        <w:outlineLvl w:val="0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2"/>
        </w:rPr>
        <w:t>附件：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1.  </w:t>
      </w:r>
      <w:r>
        <w:rPr>
          <w:rFonts w:ascii="SimHei" w:hAnsi="SimHei" w:eastAsia="SimHei" w:cs="SimHei"/>
          <w:sz w:val="24"/>
          <w:szCs w:val="24"/>
          <w:spacing w:val="-2"/>
        </w:rPr>
        <w:t>相关标准理化指标对比表。</w:t>
      </w:r>
    </w:p>
    <w:p>
      <w:pPr>
        <w:spacing w:line="222" w:lineRule="auto"/>
        <w:sectPr>
          <w:footerReference w:type="default" r:id="rId24"/>
          <w:pgSz w:w="11906" w:h="16839"/>
          <w:pgMar w:top="400" w:right="1785" w:bottom="1362" w:left="1785" w:header="0" w:footer="1200" w:gutter="0"/>
        </w:sectPr>
        <w:rPr>
          <w:rFonts w:ascii="SimHei" w:hAnsi="SimHei" w:eastAsia="SimHei" w:cs="SimHei"/>
          <w:sz w:val="24"/>
          <w:szCs w:val="24"/>
        </w:rPr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spacing w:before="103" w:line="201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附件</w:t>
      </w:r>
      <w:r>
        <w:rPr>
          <w:rFonts w:ascii="Microsoft YaHei" w:hAnsi="Microsoft YaHei" w:eastAsia="Microsoft YaHei" w:cs="Microsoft YaHei"/>
          <w:sz w:val="24"/>
          <w:szCs w:val="24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1 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相关标准理化指标对比表</w:t>
      </w:r>
    </w:p>
    <w:p>
      <w:pPr>
        <w:spacing w:line="103" w:lineRule="exact"/>
        <w:rPr/>
      </w:pPr>
      <w:r/>
    </w:p>
    <w:tbl>
      <w:tblPr>
        <w:tblStyle w:val="TableNormal"/>
        <w:tblW w:w="13605" w:type="dxa"/>
        <w:tblInd w:w="15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056"/>
        <w:gridCol w:w="1153"/>
        <w:gridCol w:w="1179"/>
        <w:gridCol w:w="1153"/>
        <w:gridCol w:w="1200"/>
        <w:gridCol w:w="1200"/>
        <w:gridCol w:w="1200"/>
        <w:gridCol w:w="985"/>
        <w:gridCol w:w="1156"/>
        <w:gridCol w:w="2323"/>
      </w:tblGrid>
      <w:tr>
        <w:trPr>
          <w:trHeight w:val="689" w:hRule="atLeast"/>
        </w:trPr>
        <w:tc>
          <w:tcPr>
            <w:tcW w:w="205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19"/>
              <w:spacing w:before="240" w:line="222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6"/>
              </w:rPr>
              <w:t>参考标准</w:t>
            </w:r>
          </w:p>
        </w:tc>
        <w:tc>
          <w:tcPr>
            <w:tcW w:w="115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27"/>
              <w:spacing w:before="84" w:line="225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水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4"/>
              </w:rPr>
              <w:t xml:space="preserve">    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分</w:t>
            </w:r>
          </w:p>
          <w:p>
            <w:pPr>
              <w:ind w:left="128"/>
              <w:spacing w:before="101" w:line="201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(g/100g)</w:t>
            </w:r>
          </w:p>
        </w:tc>
        <w:tc>
          <w:tcPr>
            <w:tcW w:w="117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20" w:right="99" w:firstLine="10"/>
              <w:spacing w:before="84" w:line="291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6"/>
              </w:rPr>
              <w:t>多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11"/>
              </w:rPr>
              <w:t xml:space="preserve">    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6"/>
              </w:rPr>
              <w:t>糖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(g/100g)</w:t>
            </w:r>
          </w:p>
        </w:tc>
        <w:tc>
          <w:tcPr>
            <w:tcW w:w="115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20"/>
              <w:spacing w:before="240" w:line="222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8"/>
              </w:rPr>
              <w:t>铅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8"/>
              </w:rPr>
              <w:t>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mg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8"/>
              </w:rPr>
              <w:t>/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8"/>
              </w:rPr>
              <w:t>)</w:t>
            </w:r>
          </w:p>
        </w:tc>
        <w:tc>
          <w:tcPr>
            <w:tcW w:w="120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71"/>
              <w:spacing w:before="240" w:line="222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7"/>
              </w:rPr>
              <w:t>镉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7"/>
              </w:rPr>
              <w:t>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mg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7"/>
              </w:rPr>
              <w:t>/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7"/>
              </w:rPr>
              <w:t>)</w:t>
            </w:r>
          </w:p>
        </w:tc>
        <w:tc>
          <w:tcPr>
            <w:tcW w:w="120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76"/>
              <w:spacing w:before="240" w:line="222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6"/>
              </w:rPr>
              <w:t>汞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6"/>
              </w:rPr>
              <w:t>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mg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6"/>
              </w:rPr>
              <w:t>/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6"/>
              </w:rPr>
              <w:t>)</w:t>
            </w:r>
          </w:p>
        </w:tc>
        <w:tc>
          <w:tcPr>
            <w:tcW w:w="120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73"/>
              <w:spacing w:before="240" w:line="222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7"/>
              </w:rPr>
              <w:t>砷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7"/>
              </w:rPr>
              <w:t>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mg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7"/>
              </w:rPr>
              <w:t>/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7"/>
              </w:rPr>
              <w:t>)</w:t>
            </w:r>
          </w:p>
        </w:tc>
        <w:tc>
          <w:tcPr>
            <w:tcW w:w="98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69"/>
              <w:spacing w:before="84" w:line="224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2"/>
              </w:rPr>
              <w:t>铬</w:t>
            </w:r>
          </w:p>
          <w:p>
            <w:pPr>
              <w:ind w:left="171"/>
              <w:spacing w:before="102" w:line="201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7"/>
              </w:rPr>
              <w:t>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mg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7"/>
              </w:rPr>
              <w:t>/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7"/>
              </w:rPr>
              <w:t>)</w:t>
            </w:r>
          </w:p>
        </w:tc>
        <w:tc>
          <w:tcPr>
            <w:tcW w:w="115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70"/>
              <w:spacing w:before="273" w:line="201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hAnsi="Times New Roman" w:eastAsia="Times New Roman" w:cs="Times New Roman"/>
                <w:sz w:val="13"/>
                <w:szCs w:val="13"/>
                <w:spacing w:val="2"/>
                <w:position w:val="-1"/>
              </w:rPr>
              <w:t>2</w:t>
            </w:r>
            <w:r>
              <w:rPr>
                <w:rFonts w:ascii="Times New Roman" w:hAnsi="Times New Roman" w:eastAsia="Times New Roman" w:cs="Times New Roman"/>
                <w:sz w:val="13"/>
                <w:szCs w:val="13"/>
                <w:spacing w:val="12"/>
                <w:position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(g/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)</w:t>
            </w:r>
          </w:p>
        </w:tc>
        <w:tc>
          <w:tcPr>
            <w:tcW w:w="232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34"/>
              <w:spacing w:before="239" w:line="225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3"/>
              </w:rPr>
              <w:t>农残</w:t>
            </w:r>
          </w:p>
        </w:tc>
      </w:tr>
      <w:tr>
        <w:trPr>
          <w:trHeight w:val="561" w:hRule="atLeast"/>
        </w:trPr>
        <w:tc>
          <w:tcPr>
            <w:tcW w:w="2056" w:type="dxa"/>
            <w:vAlign w:val="top"/>
            <w:tcBorders>
              <w:top w:val="single" w:color="000000" w:sz="2" w:space="0"/>
            </w:tcBorders>
          </w:tcPr>
          <w:p>
            <w:pPr>
              <w:ind w:left="115"/>
              <w:spacing w:before="218" w:line="223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6"/>
              </w:rPr>
              <w:t>本标准</w:t>
            </w:r>
          </w:p>
        </w:tc>
        <w:tc>
          <w:tcPr>
            <w:tcW w:w="1153" w:type="dxa"/>
            <w:vAlign w:val="top"/>
            <w:tcBorders>
              <w:top w:val="single" w:color="000000" w:sz="2" w:space="0"/>
            </w:tcBorders>
          </w:tcPr>
          <w:p>
            <w:pPr>
              <w:ind w:left="144"/>
              <w:spacing w:before="25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12.0</w:t>
            </w:r>
          </w:p>
        </w:tc>
        <w:tc>
          <w:tcPr>
            <w:tcW w:w="1179" w:type="dxa"/>
            <w:vAlign w:val="top"/>
            <w:tcBorders>
              <w:top w:val="single" w:color="000000" w:sz="2" w:space="0"/>
            </w:tcBorders>
          </w:tcPr>
          <w:p>
            <w:pPr>
              <w:ind w:left="116"/>
              <w:spacing w:before="25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25.0</w:t>
            </w:r>
          </w:p>
        </w:tc>
        <w:tc>
          <w:tcPr>
            <w:tcW w:w="1153" w:type="dxa"/>
            <w:vAlign w:val="top"/>
            <w:tcBorders>
              <w:top w:val="single" w:color="000000" w:sz="2" w:space="0"/>
            </w:tcBorders>
          </w:tcPr>
          <w:p>
            <w:pPr>
              <w:ind w:left="140"/>
              <w:spacing w:before="25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1.0</w:t>
            </w:r>
          </w:p>
        </w:tc>
        <w:tc>
          <w:tcPr>
            <w:tcW w:w="1200" w:type="dxa"/>
            <w:vAlign w:val="top"/>
            <w:tcBorders>
              <w:top w:val="single" w:color="000000" w:sz="2" w:space="0"/>
            </w:tcBorders>
          </w:tcPr>
          <w:p>
            <w:pPr>
              <w:ind w:left="170"/>
              <w:spacing w:before="25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0.5</w:t>
            </w:r>
          </w:p>
        </w:tc>
        <w:tc>
          <w:tcPr>
            <w:tcW w:w="1200" w:type="dxa"/>
            <w:vAlign w:val="top"/>
            <w:tcBorders>
              <w:top w:val="single" w:color="000000" w:sz="2" w:space="0"/>
            </w:tcBorders>
          </w:tcPr>
          <w:p>
            <w:pPr>
              <w:ind w:left="170"/>
              <w:spacing w:before="25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0.05</w:t>
            </w:r>
          </w:p>
        </w:tc>
        <w:tc>
          <w:tcPr>
            <w:tcW w:w="1200" w:type="dxa"/>
            <w:vAlign w:val="top"/>
            <w:tcBorders>
              <w:top w:val="single" w:color="000000" w:sz="2" w:space="0"/>
            </w:tcBorders>
          </w:tcPr>
          <w:p>
            <w:pPr>
              <w:ind w:left="170"/>
              <w:spacing w:before="25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0.5</w:t>
            </w:r>
          </w:p>
        </w:tc>
        <w:tc>
          <w:tcPr>
            <w:tcW w:w="985" w:type="dxa"/>
            <w:vAlign w:val="top"/>
            <w:tcBorders>
              <w:top w:val="single" w:color="000000" w:sz="2" w:space="0"/>
            </w:tcBorders>
          </w:tcPr>
          <w:p>
            <w:pPr>
              <w:ind w:left="163"/>
              <w:spacing w:before="249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156" w:type="dxa"/>
            <w:vAlign w:val="top"/>
            <w:tcBorders>
              <w:top w:val="single" w:color="000000" w:sz="2" w:space="0"/>
            </w:tcBorders>
          </w:tcPr>
          <w:p>
            <w:pPr>
              <w:ind w:left="157"/>
              <w:spacing w:before="249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2323" w:type="dxa"/>
            <w:vAlign w:val="top"/>
            <w:tcBorders>
              <w:top w:val="single" w:color="000000" w:sz="2" w:space="0"/>
            </w:tcBorders>
          </w:tcPr>
          <w:p>
            <w:pPr>
              <w:ind w:left="131"/>
              <w:spacing w:before="218" w:line="222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GB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6"/>
              </w:rPr>
              <w:t xml:space="preserve"> 2763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1"/>
                <w:w w:val="101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6"/>
              </w:rPr>
              <w:t>和农业农村部</w:t>
            </w:r>
          </w:p>
        </w:tc>
      </w:tr>
      <w:tr>
        <w:trPr>
          <w:trHeight w:val="744" w:hRule="atLeast"/>
        </w:trPr>
        <w:tc>
          <w:tcPr>
            <w:tcW w:w="2056" w:type="dxa"/>
            <w:vAlign w:val="top"/>
          </w:tcPr>
          <w:p>
            <w:pPr>
              <w:ind w:left="118" w:right="691" w:hanging="7"/>
              <w:spacing w:before="140" w:line="274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>2023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5"/>
              </w:rPr>
              <w:t>年九种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7"/>
              </w:rPr>
              <w:t>食药物质公告</w:t>
            </w:r>
          </w:p>
        </w:tc>
        <w:tc>
          <w:tcPr>
            <w:tcW w:w="1153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20"/>
              <w:spacing w:before="57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17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12"/>
              <w:spacing w:before="57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153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40"/>
              <w:spacing w:before="5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1.0</w:t>
            </w:r>
          </w:p>
        </w:tc>
        <w:tc>
          <w:tcPr>
            <w:tcW w:w="120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70"/>
              <w:spacing w:before="5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0.5</w:t>
            </w:r>
          </w:p>
        </w:tc>
        <w:tc>
          <w:tcPr>
            <w:tcW w:w="120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70"/>
              <w:spacing w:before="5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0.05</w:t>
            </w:r>
          </w:p>
        </w:tc>
        <w:tc>
          <w:tcPr>
            <w:tcW w:w="120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70"/>
              <w:spacing w:before="5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0.5</w:t>
            </w:r>
          </w:p>
        </w:tc>
        <w:tc>
          <w:tcPr>
            <w:tcW w:w="98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15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57"/>
              <w:spacing w:before="57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2323" w:type="dxa"/>
            <w:vAlign w:val="top"/>
          </w:tcPr>
          <w:p>
            <w:pPr>
              <w:ind w:left="137"/>
              <w:spacing w:before="139" w:line="222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26"/>
              </w:rPr>
              <w:t>应符合农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5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26"/>
              </w:rPr>
              <w:t>业农村部的</w:t>
            </w:r>
          </w:p>
          <w:p>
            <w:pPr>
              <w:ind w:left="130"/>
              <w:spacing w:before="72" w:line="225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8"/>
              </w:rPr>
              <w:t>相关规定</w:t>
            </w:r>
          </w:p>
        </w:tc>
      </w:tr>
      <w:tr>
        <w:trPr>
          <w:trHeight w:val="395" w:hRule="atLeast"/>
        </w:trPr>
        <w:tc>
          <w:tcPr>
            <w:tcW w:w="2056" w:type="dxa"/>
            <w:vAlign w:val="top"/>
          </w:tcPr>
          <w:p>
            <w:pPr>
              <w:ind w:left="139"/>
              <w:spacing w:before="91" w:line="222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1"/>
              </w:rPr>
              <w:t>中国药典</w:t>
            </w:r>
          </w:p>
        </w:tc>
        <w:tc>
          <w:tcPr>
            <w:tcW w:w="1153" w:type="dxa"/>
            <w:vAlign w:val="top"/>
          </w:tcPr>
          <w:p>
            <w:pPr>
              <w:ind w:left="144"/>
              <w:spacing w:before="12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12.0</w:t>
            </w:r>
          </w:p>
        </w:tc>
        <w:tc>
          <w:tcPr>
            <w:tcW w:w="1179" w:type="dxa"/>
            <w:vAlign w:val="top"/>
          </w:tcPr>
          <w:p>
            <w:pPr>
              <w:ind w:left="116"/>
              <w:spacing w:before="12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25.0</w:t>
            </w:r>
          </w:p>
        </w:tc>
        <w:tc>
          <w:tcPr>
            <w:tcW w:w="1153" w:type="dxa"/>
            <w:vAlign w:val="top"/>
          </w:tcPr>
          <w:p>
            <w:pPr>
              <w:ind w:left="116"/>
              <w:spacing w:before="125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200" w:type="dxa"/>
            <w:vAlign w:val="top"/>
          </w:tcPr>
          <w:p>
            <w:pPr>
              <w:ind w:left="163"/>
              <w:spacing w:before="125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200" w:type="dxa"/>
            <w:vAlign w:val="top"/>
          </w:tcPr>
          <w:p>
            <w:pPr>
              <w:ind w:left="163"/>
              <w:spacing w:before="125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200" w:type="dxa"/>
            <w:vAlign w:val="top"/>
          </w:tcPr>
          <w:p>
            <w:pPr>
              <w:ind w:left="163"/>
              <w:spacing w:before="125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985" w:type="dxa"/>
            <w:vAlign w:val="top"/>
          </w:tcPr>
          <w:p>
            <w:pPr>
              <w:ind w:left="163"/>
              <w:spacing w:before="125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156" w:type="dxa"/>
            <w:vAlign w:val="top"/>
          </w:tcPr>
          <w:p>
            <w:pPr>
              <w:ind w:left="157"/>
              <w:spacing w:before="125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2323" w:type="dxa"/>
            <w:vAlign w:val="top"/>
          </w:tcPr>
          <w:p>
            <w:pPr>
              <w:ind w:left="131"/>
              <w:spacing w:before="12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GB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 xml:space="preserve"> 2763</w:t>
            </w:r>
          </w:p>
        </w:tc>
      </w:tr>
      <w:tr>
        <w:trPr>
          <w:trHeight w:val="707" w:hRule="atLeast"/>
        </w:trPr>
        <w:tc>
          <w:tcPr>
            <w:tcW w:w="2056" w:type="dxa"/>
            <w:vAlign w:val="top"/>
          </w:tcPr>
          <w:p>
            <w:pPr>
              <w:ind w:left="114"/>
              <w:spacing w:before="102" w:line="225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7"/>
              </w:rPr>
              <w:t>广东省</w:t>
            </w:r>
          </w:p>
          <w:p>
            <w:pPr>
              <w:ind w:left="115"/>
              <w:spacing w:before="98" w:line="201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>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DBS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>44/023-2024)</w:t>
            </w:r>
          </w:p>
        </w:tc>
        <w:tc>
          <w:tcPr>
            <w:tcW w:w="1153" w:type="dxa"/>
            <w:vAlign w:val="top"/>
          </w:tcPr>
          <w:p>
            <w:pPr>
              <w:ind w:left="144"/>
              <w:spacing w:before="2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12.0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112" w:right="292" w:firstLine="9"/>
              <w:spacing w:before="101" w:line="27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5.0(</w:t>
            </w:r>
            <w:r>
              <w:rPr>
                <w:sz w:val="20"/>
                <w:szCs w:val="20"/>
                <w:spacing w:val="3"/>
              </w:rPr>
              <w:t>鲜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)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/25.0(</w:t>
            </w:r>
            <w:r>
              <w:rPr>
                <w:sz w:val="20"/>
                <w:szCs w:val="20"/>
                <w:spacing w:val="4"/>
              </w:rPr>
              <w:t>干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)</w:t>
            </w:r>
          </w:p>
        </w:tc>
        <w:tc>
          <w:tcPr>
            <w:tcW w:w="1153" w:type="dxa"/>
            <w:vAlign w:val="top"/>
          </w:tcPr>
          <w:p>
            <w:pPr>
              <w:ind w:left="140"/>
              <w:spacing w:before="2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1.0</w:t>
            </w:r>
          </w:p>
        </w:tc>
        <w:tc>
          <w:tcPr>
            <w:tcW w:w="1200" w:type="dxa"/>
            <w:vAlign w:val="top"/>
          </w:tcPr>
          <w:p>
            <w:pPr>
              <w:ind w:left="170"/>
              <w:spacing w:before="2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0.5</w:t>
            </w:r>
          </w:p>
        </w:tc>
        <w:tc>
          <w:tcPr>
            <w:tcW w:w="1200" w:type="dxa"/>
            <w:vAlign w:val="top"/>
          </w:tcPr>
          <w:p>
            <w:pPr>
              <w:ind w:left="170"/>
              <w:spacing w:before="2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0.05</w:t>
            </w:r>
          </w:p>
        </w:tc>
        <w:tc>
          <w:tcPr>
            <w:tcW w:w="1200" w:type="dxa"/>
            <w:vAlign w:val="top"/>
          </w:tcPr>
          <w:p>
            <w:pPr>
              <w:ind w:left="170"/>
              <w:spacing w:before="2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0.5</w:t>
            </w:r>
          </w:p>
        </w:tc>
        <w:tc>
          <w:tcPr>
            <w:tcW w:w="985" w:type="dxa"/>
            <w:vAlign w:val="top"/>
          </w:tcPr>
          <w:p>
            <w:pPr>
              <w:ind w:left="163"/>
              <w:spacing w:before="289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156" w:type="dxa"/>
            <w:vAlign w:val="top"/>
          </w:tcPr>
          <w:p>
            <w:pPr>
              <w:ind w:left="157"/>
              <w:spacing w:before="289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2323" w:type="dxa"/>
            <w:vAlign w:val="top"/>
          </w:tcPr>
          <w:p>
            <w:pPr>
              <w:ind w:left="131"/>
              <w:spacing w:before="2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GB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 xml:space="preserve"> 2763</w:t>
            </w:r>
          </w:p>
        </w:tc>
      </w:tr>
      <w:tr>
        <w:trPr>
          <w:trHeight w:val="668" w:hRule="atLeast"/>
        </w:trPr>
        <w:tc>
          <w:tcPr>
            <w:tcW w:w="2056" w:type="dxa"/>
            <w:vAlign w:val="top"/>
          </w:tcPr>
          <w:p>
            <w:pPr>
              <w:ind w:left="121"/>
              <w:spacing w:before="74" w:line="225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4"/>
              </w:rPr>
              <w:t>湖南省</w:t>
            </w:r>
          </w:p>
          <w:p>
            <w:pPr>
              <w:ind w:left="111"/>
              <w:spacing w:before="67" w:line="236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6"/>
              </w:rPr>
              <w:t>（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DBS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6"/>
              </w:rPr>
              <w:t>43/013-2022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6"/>
              </w:rPr>
              <w:t>）</w:t>
            </w:r>
          </w:p>
        </w:tc>
        <w:tc>
          <w:tcPr>
            <w:tcW w:w="1153" w:type="dxa"/>
            <w:vAlign w:val="top"/>
          </w:tcPr>
          <w:p>
            <w:pPr>
              <w:ind w:left="144"/>
              <w:spacing w:before="26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11.0</w:t>
            </w:r>
          </w:p>
        </w:tc>
        <w:tc>
          <w:tcPr>
            <w:tcW w:w="1179" w:type="dxa"/>
            <w:vAlign w:val="top"/>
          </w:tcPr>
          <w:p>
            <w:pPr>
              <w:ind w:left="116"/>
              <w:spacing w:before="26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20.0</w:t>
            </w:r>
          </w:p>
        </w:tc>
        <w:tc>
          <w:tcPr>
            <w:tcW w:w="1153" w:type="dxa"/>
            <w:vAlign w:val="top"/>
          </w:tcPr>
          <w:p>
            <w:pPr>
              <w:ind w:left="140"/>
              <w:spacing w:before="26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1.0</w:t>
            </w:r>
          </w:p>
        </w:tc>
        <w:tc>
          <w:tcPr>
            <w:tcW w:w="1200" w:type="dxa"/>
            <w:vAlign w:val="top"/>
          </w:tcPr>
          <w:p>
            <w:pPr>
              <w:ind w:left="170"/>
              <w:spacing w:before="26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0.5</w:t>
            </w:r>
          </w:p>
        </w:tc>
        <w:tc>
          <w:tcPr>
            <w:tcW w:w="1200" w:type="dxa"/>
            <w:vAlign w:val="top"/>
          </w:tcPr>
          <w:p>
            <w:pPr>
              <w:ind w:left="170"/>
              <w:spacing w:before="26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0.01</w:t>
            </w:r>
          </w:p>
        </w:tc>
        <w:tc>
          <w:tcPr>
            <w:tcW w:w="1200" w:type="dxa"/>
            <w:vAlign w:val="top"/>
          </w:tcPr>
          <w:p>
            <w:pPr>
              <w:ind w:left="170"/>
              <w:spacing w:before="26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0.5</w:t>
            </w:r>
          </w:p>
        </w:tc>
        <w:tc>
          <w:tcPr>
            <w:tcW w:w="985" w:type="dxa"/>
            <w:vAlign w:val="top"/>
          </w:tcPr>
          <w:p>
            <w:pPr>
              <w:ind w:left="163"/>
              <w:spacing w:before="261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156" w:type="dxa"/>
            <w:vAlign w:val="top"/>
          </w:tcPr>
          <w:p>
            <w:pPr>
              <w:ind w:left="157"/>
              <w:spacing w:before="261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2323" w:type="dxa"/>
            <w:vAlign w:val="top"/>
          </w:tcPr>
          <w:p>
            <w:pPr>
              <w:ind w:left="131"/>
              <w:spacing w:before="26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GB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 xml:space="preserve"> 2763</w:t>
            </w:r>
          </w:p>
        </w:tc>
      </w:tr>
      <w:tr>
        <w:trPr>
          <w:trHeight w:val="704" w:hRule="atLeast"/>
        </w:trPr>
        <w:tc>
          <w:tcPr>
            <w:tcW w:w="2056" w:type="dxa"/>
            <w:vAlign w:val="top"/>
          </w:tcPr>
          <w:p>
            <w:pPr>
              <w:ind w:left="123"/>
              <w:spacing w:before="98" w:line="225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4"/>
              </w:rPr>
              <w:t>云南省</w:t>
            </w:r>
          </w:p>
          <w:p>
            <w:pPr>
              <w:ind w:left="115"/>
              <w:spacing w:before="68" w:line="222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>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DBS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>53/035-2022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5"/>
              </w:rPr>
              <w:t>）</w:t>
            </w:r>
          </w:p>
        </w:tc>
        <w:tc>
          <w:tcPr>
            <w:tcW w:w="1153" w:type="dxa"/>
            <w:vAlign w:val="top"/>
          </w:tcPr>
          <w:p>
            <w:pPr>
              <w:ind w:left="144"/>
              <w:spacing w:before="2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12.0</w:t>
            </w:r>
          </w:p>
        </w:tc>
        <w:tc>
          <w:tcPr>
            <w:tcW w:w="1179" w:type="dxa"/>
            <w:vAlign w:val="top"/>
          </w:tcPr>
          <w:p>
            <w:pPr>
              <w:ind w:left="116"/>
              <w:spacing w:before="2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25.0</w:t>
            </w:r>
          </w:p>
        </w:tc>
        <w:tc>
          <w:tcPr>
            <w:tcW w:w="1153" w:type="dxa"/>
            <w:vAlign w:val="top"/>
          </w:tcPr>
          <w:p>
            <w:pPr>
              <w:ind w:left="123"/>
              <w:spacing w:before="2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0.5</w:t>
            </w:r>
          </w:p>
        </w:tc>
        <w:tc>
          <w:tcPr>
            <w:tcW w:w="1200" w:type="dxa"/>
            <w:vAlign w:val="top"/>
          </w:tcPr>
          <w:p>
            <w:pPr>
              <w:ind w:left="170"/>
              <w:spacing w:before="2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0.2</w:t>
            </w:r>
          </w:p>
        </w:tc>
        <w:tc>
          <w:tcPr>
            <w:tcW w:w="1200" w:type="dxa"/>
            <w:vAlign w:val="top"/>
          </w:tcPr>
          <w:p>
            <w:pPr>
              <w:ind w:left="170"/>
              <w:spacing w:before="2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0.05</w:t>
            </w:r>
          </w:p>
        </w:tc>
        <w:tc>
          <w:tcPr>
            <w:tcW w:w="1200" w:type="dxa"/>
            <w:vAlign w:val="top"/>
          </w:tcPr>
          <w:p>
            <w:pPr>
              <w:ind w:left="170"/>
              <w:spacing w:before="2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0.3</w:t>
            </w:r>
          </w:p>
        </w:tc>
        <w:tc>
          <w:tcPr>
            <w:tcW w:w="985" w:type="dxa"/>
            <w:vAlign w:val="top"/>
          </w:tcPr>
          <w:p>
            <w:pPr>
              <w:ind w:left="163"/>
              <w:spacing w:before="287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156" w:type="dxa"/>
            <w:vAlign w:val="top"/>
          </w:tcPr>
          <w:p>
            <w:pPr>
              <w:ind w:left="157"/>
              <w:spacing w:before="287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2323" w:type="dxa"/>
            <w:vAlign w:val="top"/>
          </w:tcPr>
          <w:p>
            <w:pPr>
              <w:ind w:left="131"/>
              <w:spacing w:before="2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GB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 xml:space="preserve"> 2763</w:t>
            </w:r>
          </w:p>
        </w:tc>
      </w:tr>
      <w:tr>
        <w:trPr>
          <w:trHeight w:val="647" w:hRule="atLeast"/>
        </w:trPr>
        <w:tc>
          <w:tcPr>
            <w:tcW w:w="2056" w:type="dxa"/>
            <w:vAlign w:val="top"/>
          </w:tcPr>
          <w:p>
            <w:pPr>
              <w:ind w:left="114"/>
              <w:spacing w:before="75" w:line="224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7"/>
              </w:rPr>
              <w:t>广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1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7"/>
              </w:rPr>
              <w:t>西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23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7"/>
              </w:rPr>
              <w:t>壮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29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7"/>
              </w:rPr>
              <w:t>族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10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7"/>
              </w:rPr>
              <w:t>自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15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7"/>
              </w:rPr>
              <w:t>治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7"/>
              </w:rPr>
              <w:t>区</w:t>
            </w:r>
          </w:p>
          <w:p>
            <w:pPr>
              <w:ind w:left="111"/>
              <w:spacing w:before="69" w:line="230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6"/>
              </w:rPr>
              <w:t>（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DBS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6"/>
              </w:rPr>
              <w:t>45/071-2021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6"/>
              </w:rPr>
              <w:t>）</w:t>
            </w:r>
          </w:p>
        </w:tc>
        <w:tc>
          <w:tcPr>
            <w:tcW w:w="1153" w:type="dxa"/>
            <w:vAlign w:val="top"/>
          </w:tcPr>
          <w:p>
            <w:pPr>
              <w:ind w:left="144"/>
              <w:spacing w:before="26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12.0</w:t>
            </w:r>
          </w:p>
        </w:tc>
        <w:tc>
          <w:tcPr>
            <w:tcW w:w="1179" w:type="dxa"/>
            <w:vAlign w:val="top"/>
          </w:tcPr>
          <w:p>
            <w:pPr>
              <w:ind w:left="116"/>
              <w:spacing w:before="26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25.0</w:t>
            </w:r>
          </w:p>
        </w:tc>
        <w:tc>
          <w:tcPr>
            <w:tcW w:w="1153" w:type="dxa"/>
            <w:vAlign w:val="top"/>
          </w:tcPr>
          <w:p>
            <w:pPr>
              <w:ind w:left="140"/>
              <w:spacing w:before="26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1.0</w:t>
            </w:r>
          </w:p>
        </w:tc>
        <w:tc>
          <w:tcPr>
            <w:tcW w:w="1200" w:type="dxa"/>
            <w:vAlign w:val="top"/>
          </w:tcPr>
          <w:p>
            <w:pPr>
              <w:ind w:left="170"/>
              <w:spacing w:before="26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0.5</w:t>
            </w:r>
          </w:p>
        </w:tc>
        <w:tc>
          <w:tcPr>
            <w:tcW w:w="1200" w:type="dxa"/>
            <w:vAlign w:val="top"/>
          </w:tcPr>
          <w:p>
            <w:pPr>
              <w:ind w:left="170"/>
              <w:spacing w:before="26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0.01</w:t>
            </w:r>
          </w:p>
        </w:tc>
        <w:tc>
          <w:tcPr>
            <w:tcW w:w="1200" w:type="dxa"/>
            <w:vAlign w:val="top"/>
          </w:tcPr>
          <w:p>
            <w:pPr>
              <w:ind w:left="170"/>
              <w:spacing w:before="26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0.5</w:t>
            </w:r>
          </w:p>
        </w:tc>
        <w:tc>
          <w:tcPr>
            <w:tcW w:w="985" w:type="dxa"/>
            <w:vAlign w:val="top"/>
          </w:tcPr>
          <w:p>
            <w:pPr>
              <w:ind w:left="167"/>
              <w:spacing w:before="26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2.0</w:t>
            </w:r>
          </w:p>
        </w:tc>
        <w:tc>
          <w:tcPr>
            <w:tcW w:w="1156" w:type="dxa"/>
            <w:vAlign w:val="top"/>
          </w:tcPr>
          <w:p>
            <w:pPr>
              <w:ind w:left="157"/>
              <w:spacing w:before="264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2323" w:type="dxa"/>
            <w:vAlign w:val="top"/>
          </w:tcPr>
          <w:p>
            <w:pPr>
              <w:ind w:left="131"/>
              <w:spacing w:before="26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GB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 xml:space="preserve"> 2763</w:t>
            </w:r>
          </w:p>
        </w:tc>
      </w:tr>
      <w:tr>
        <w:trPr>
          <w:trHeight w:val="663" w:hRule="atLeast"/>
        </w:trPr>
        <w:tc>
          <w:tcPr>
            <w:tcW w:w="2056" w:type="dxa"/>
            <w:vAlign w:val="top"/>
            <w:tcBorders>
              <w:bottom w:val="single" w:color="000000" w:sz="2" w:space="0"/>
            </w:tcBorders>
          </w:tcPr>
          <w:p>
            <w:pPr>
              <w:ind w:left="120"/>
              <w:spacing w:before="78" w:line="224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5"/>
              </w:rPr>
              <w:t>贵州省</w:t>
            </w:r>
          </w:p>
          <w:p>
            <w:pPr>
              <w:ind w:left="115"/>
              <w:spacing w:before="69" w:line="222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>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DBS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>52/048-2020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5"/>
              </w:rPr>
              <w:t>）</w:t>
            </w:r>
          </w:p>
        </w:tc>
        <w:tc>
          <w:tcPr>
            <w:tcW w:w="1153" w:type="dxa"/>
            <w:vAlign w:val="top"/>
            <w:tcBorders>
              <w:bottom w:val="single" w:color="000000" w:sz="2" w:space="0"/>
            </w:tcBorders>
          </w:tcPr>
          <w:p>
            <w:pPr>
              <w:ind w:left="144"/>
              <w:spacing w:before="27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12.0</w:t>
            </w:r>
          </w:p>
        </w:tc>
        <w:tc>
          <w:tcPr>
            <w:tcW w:w="1179" w:type="dxa"/>
            <w:vAlign w:val="top"/>
            <w:tcBorders>
              <w:bottom w:val="single" w:color="000000" w:sz="2" w:space="0"/>
            </w:tcBorders>
          </w:tcPr>
          <w:p>
            <w:pPr>
              <w:ind w:left="116"/>
              <w:spacing w:before="27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25.0</w:t>
            </w:r>
          </w:p>
        </w:tc>
        <w:tc>
          <w:tcPr>
            <w:tcW w:w="1153" w:type="dxa"/>
            <w:vAlign w:val="top"/>
            <w:tcBorders>
              <w:bottom w:val="single" w:color="000000" w:sz="2" w:space="0"/>
            </w:tcBorders>
          </w:tcPr>
          <w:p>
            <w:pPr>
              <w:ind w:left="140"/>
              <w:spacing w:before="27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1.0</w:t>
            </w:r>
          </w:p>
        </w:tc>
        <w:tc>
          <w:tcPr>
            <w:tcW w:w="1200" w:type="dxa"/>
            <w:vAlign w:val="top"/>
            <w:tcBorders>
              <w:bottom w:val="single" w:color="000000" w:sz="2" w:space="0"/>
            </w:tcBorders>
          </w:tcPr>
          <w:p>
            <w:pPr>
              <w:ind w:left="170"/>
              <w:spacing w:before="27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0.2</w:t>
            </w:r>
          </w:p>
        </w:tc>
        <w:tc>
          <w:tcPr>
            <w:tcW w:w="1200" w:type="dxa"/>
            <w:vAlign w:val="top"/>
            <w:tcBorders>
              <w:bottom w:val="single" w:color="000000" w:sz="2" w:space="0"/>
            </w:tcBorders>
          </w:tcPr>
          <w:p>
            <w:pPr>
              <w:ind w:left="163"/>
              <w:spacing w:before="268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200" w:type="dxa"/>
            <w:vAlign w:val="top"/>
            <w:tcBorders>
              <w:bottom w:val="single" w:color="000000" w:sz="2" w:space="0"/>
            </w:tcBorders>
          </w:tcPr>
          <w:p>
            <w:pPr>
              <w:ind w:left="170"/>
              <w:spacing w:before="27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0.5</w:t>
            </w:r>
          </w:p>
        </w:tc>
        <w:tc>
          <w:tcPr>
            <w:tcW w:w="985" w:type="dxa"/>
            <w:vAlign w:val="top"/>
            <w:tcBorders>
              <w:bottom w:val="single" w:color="000000" w:sz="2" w:space="0"/>
            </w:tcBorders>
          </w:tcPr>
          <w:p>
            <w:pPr>
              <w:ind w:left="163"/>
              <w:spacing w:before="268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156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168"/>
              <w:spacing w:before="233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不得检出</w:t>
            </w:r>
          </w:p>
        </w:tc>
        <w:tc>
          <w:tcPr>
            <w:tcW w:w="2323" w:type="dxa"/>
            <w:vAlign w:val="top"/>
            <w:tcBorders>
              <w:bottom w:val="single" w:color="000000" w:sz="2" w:space="0"/>
            </w:tcBorders>
          </w:tcPr>
          <w:p>
            <w:pPr>
              <w:ind w:left="131"/>
              <w:spacing w:before="27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GB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 xml:space="preserve"> 2763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5"/>
          <w:pgSz w:w="16839" w:h="11906"/>
          <w:pgMar w:top="400" w:right="1616" w:bottom="1362" w:left="1462" w:header="0" w:footer="1200" w:gutter="0"/>
        </w:sectPr>
        <w:rPr/>
      </w:pPr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left="5621"/>
        <w:spacing w:before="273" w:line="190" w:lineRule="auto"/>
        <w:rPr>
          <w:rFonts w:ascii="Times New Roman" w:hAnsi="Times New Roman" w:eastAsia="Times New Roman" w:cs="Times New Roman"/>
          <w:sz w:val="95"/>
          <w:szCs w:val="95"/>
        </w:rPr>
      </w:pPr>
      <w:r>
        <w:rPr>
          <w:rFonts w:ascii="Times New Roman" w:hAnsi="Times New Roman" w:eastAsia="Times New Roman" w:cs="Times New Roman"/>
          <w:sz w:val="95"/>
          <w:szCs w:val="95"/>
          <w:b/>
          <w:bCs/>
          <w:spacing w:val="54"/>
          <w:w w:val="121"/>
        </w:rPr>
        <w:t>DBS33</w:t>
      </w:r>
    </w:p>
    <w:p>
      <w:pPr>
        <w:spacing w:before="365" w:line="221" w:lineRule="auto"/>
        <w:jc w:val="right"/>
        <w:rPr>
          <w:rFonts w:ascii="SimHei" w:hAnsi="SimHei" w:eastAsia="SimHei" w:cs="SimHei"/>
          <w:sz w:val="52"/>
          <w:szCs w:val="52"/>
        </w:rPr>
      </w:pPr>
      <w:r>
        <w:rPr>
          <w:rFonts w:ascii="SimHei" w:hAnsi="SimHei" w:eastAsia="SimHei" w:cs="SimHei"/>
          <w:sz w:val="52"/>
          <w:szCs w:val="52"/>
          <w:spacing w:val="-12"/>
        </w:rPr>
        <w:t>浙</w:t>
      </w:r>
      <w:r>
        <w:rPr>
          <w:rFonts w:ascii="SimHei" w:hAnsi="SimHei" w:eastAsia="SimHei" w:cs="SimHei"/>
          <w:sz w:val="52"/>
          <w:szCs w:val="52"/>
          <w:spacing w:val="-12"/>
        </w:rPr>
        <w:t xml:space="preserve">    </w:t>
      </w:r>
      <w:r>
        <w:rPr>
          <w:rFonts w:ascii="SimHei" w:hAnsi="SimHei" w:eastAsia="SimHei" w:cs="SimHei"/>
          <w:sz w:val="52"/>
          <w:szCs w:val="52"/>
          <w:spacing w:val="-12"/>
        </w:rPr>
        <w:t>江</w:t>
      </w:r>
      <w:r>
        <w:rPr>
          <w:rFonts w:ascii="SimHei" w:hAnsi="SimHei" w:eastAsia="SimHei" w:cs="SimHei"/>
          <w:sz w:val="52"/>
          <w:szCs w:val="52"/>
          <w:spacing w:val="-12"/>
        </w:rPr>
        <w:t xml:space="preserve">    </w:t>
      </w:r>
      <w:r>
        <w:rPr>
          <w:rFonts w:ascii="SimHei" w:hAnsi="SimHei" w:eastAsia="SimHei" w:cs="SimHei"/>
          <w:sz w:val="52"/>
          <w:szCs w:val="52"/>
          <w:spacing w:val="-12"/>
        </w:rPr>
        <w:t>省</w:t>
      </w:r>
      <w:r>
        <w:rPr>
          <w:rFonts w:ascii="SimHei" w:hAnsi="SimHei" w:eastAsia="SimHei" w:cs="SimHei"/>
          <w:sz w:val="52"/>
          <w:szCs w:val="52"/>
          <w:spacing w:val="83"/>
        </w:rPr>
        <w:t xml:space="preserve">   </w:t>
      </w:r>
      <w:r>
        <w:rPr>
          <w:rFonts w:ascii="SimHei" w:hAnsi="SimHei" w:eastAsia="SimHei" w:cs="SimHei"/>
          <w:sz w:val="52"/>
          <w:szCs w:val="52"/>
          <w:spacing w:val="-12"/>
        </w:rPr>
        <w:t>地</w:t>
      </w:r>
      <w:r>
        <w:rPr>
          <w:rFonts w:ascii="SimHei" w:hAnsi="SimHei" w:eastAsia="SimHei" w:cs="SimHei"/>
          <w:sz w:val="52"/>
          <w:szCs w:val="52"/>
          <w:spacing w:val="83"/>
        </w:rPr>
        <w:t xml:space="preserve">   </w:t>
      </w:r>
      <w:r>
        <w:rPr>
          <w:rFonts w:ascii="SimHei" w:hAnsi="SimHei" w:eastAsia="SimHei" w:cs="SimHei"/>
          <w:sz w:val="52"/>
          <w:szCs w:val="52"/>
          <w:spacing w:val="-12"/>
        </w:rPr>
        <w:t>方</w:t>
      </w:r>
      <w:r>
        <w:rPr>
          <w:rFonts w:ascii="SimHei" w:hAnsi="SimHei" w:eastAsia="SimHei" w:cs="SimHei"/>
          <w:sz w:val="52"/>
          <w:szCs w:val="52"/>
          <w:spacing w:val="-12"/>
        </w:rPr>
        <w:t xml:space="preserve">    </w:t>
      </w:r>
      <w:r>
        <w:rPr>
          <w:rFonts w:ascii="SimHei" w:hAnsi="SimHei" w:eastAsia="SimHei" w:cs="SimHei"/>
          <w:sz w:val="52"/>
          <w:szCs w:val="52"/>
          <w:spacing w:val="-12"/>
        </w:rPr>
        <w:t>标</w:t>
      </w:r>
      <w:r>
        <w:rPr>
          <w:rFonts w:ascii="SimHei" w:hAnsi="SimHei" w:eastAsia="SimHei" w:cs="SimHei"/>
          <w:sz w:val="52"/>
          <w:szCs w:val="52"/>
          <w:spacing w:val="80"/>
        </w:rPr>
        <w:t xml:space="preserve">   </w:t>
      </w:r>
      <w:r>
        <w:rPr>
          <w:rFonts w:ascii="SimHei" w:hAnsi="SimHei" w:eastAsia="SimHei" w:cs="SimHei"/>
          <w:sz w:val="52"/>
          <w:szCs w:val="52"/>
          <w:spacing w:val="-12"/>
        </w:rPr>
        <w:t>准</w:t>
      </w:r>
    </w:p>
    <w:p>
      <w:pPr>
        <w:pStyle w:val="BodyText"/>
        <w:spacing w:line="310" w:lineRule="auto"/>
        <w:rPr/>
      </w:pPr>
      <w:r/>
    </w:p>
    <w:p>
      <w:pPr>
        <w:pStyle w:val="BodyText"/>
        <w:spacing w:line="310" w:lineRule="auto"/>
        <w:rPr/>
      </w:pPr>
      <w:r/>
    </w:p>
    <w:p>
      <w:pPr>
        <w:ind w:left="7215"/>
        <w:spacing w:before="91" w:line="237" w:lineRule="auto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1"/>
        </w:rPr>
        <w:t>DBS33/XXXX—2025</w:t>
      </w:r>
    </w:p>
    <w:p>
      <w:pPr>
        <w:ind w:firstLine="650"/>
        <w:spacing w:before="117" w:line="35" w:lineRule="exact"/>
        <w:rPr/>
      </w:pPr>
      <w:r>
        <w:rPr/>
        <w:drawing>
          <wp:inline distT="0" distB="0" distL="0" distR="0">
            <wp:extent cx="5706770" cy="22225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06770" cy="2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left="2620"/>
        <w:spacing w:before="170" w:line="221" w:lineRule="auto"/>
        <w:rPr>
          <w:rFonts w:ascii="SimHei" w:hAnsi="SimHei" w:eastAsia="SimHei" w:cs="SimHei"/>
          <w:sz w:val="52"/>
          <w:szCs w:val="52"/>
        </w:rPr>
      </w:pPr>
      <w:r>
        <w:rPr>
          <w:rFonts w:ascii="SimHei" w:hAnsi="SimHei" w:eastAsia="SimHei" w:cs="SimHei"/>
          <w:sz w:val="52"/>
          <w:szCs w:val="52"/>
          <w:spacing w:val="-3"/>
        </w:rPr>
        <w:t>食品安全地方标准</w:t>
      </w:r>
    </w:p>
    <w:p>
      <w:pPr>
        <w:ind w:left="4185"/>
        <w:spacing w:before="312" w:line="223" w:lineRule="auto"/>
        <w:rPr>
          <w:rFonts w:ascii="SimHei" w:hAnsi="SimHei" w:eastAsia="SimHei" w:cs="SimHei"/>
          <w:sz w:val="52"/>
          <w:szCs w:val="52"/>
        </w:rPr>
      </w:pPr>
      <w:r>
        <w:rPr>
          <w:rFonts w:ascii="SimHei" w:hAnsi="SimHei" w:eastAsia="SimHei" w:cs="SimHei"/>
          <w:sz w:val="52"/>
          <w:szCs w:val="52"/>
          <w:spacing w:val="-12"/>
        </w:rPr>
        <w:t>灵芝</w:t>
      </w:r>
    </w:p>
    <w:p>
      <w:pPr>
        <w:ind w:left="3598"/>
        <w:spacing w:before="257" w:line="226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2"/>
        </w:rPr>
        <w:t>（征求意见稿）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7"/>
        <w:spacing w:before="92" w:line="222" w:lineRule="auto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</w:rPr>
        <w:t>202X-XX-XX</w:t>
      </w:r>
      <w:r>
        <w:rPr>
          <w:rFonts w:ascii="SimHei" w:hAnsi="SimHei" w:eastAsia="SimHei" w:cs="SimHei"/>
          <w:sz w:val="28"/>
          <w:szCs w:val="28"/>
        </w:rPr>
        <w:t xml:space="preserve"> </w:t>
      </w:r>
      <w:r>
        <w:rPr>
          <w:rFonts w:ascii="SimHei" w:hAnsi="SimHei" w:eastAsia="SimHei" w:cs="SimHei"/>
          <w:sz w:val="28"/>
          <w:szCs w:val="28"/>
        </w:rPr>
        <w:t>发布</w:t>
      </w:r>
      <w:r>
        <w:rPr>
          <w:rFonts w:ascii="SimHei" w:hAnsi="SimHei" w:eastAsia="SimHei" w:cs="SimHei"/>
          <w:sz w:val="28"/>
          <w:szCs w:val="28"/>
        </w:rPr>
        <w:t xml:space="preserve">                       </w:t>
      </w:r>
      <w:r>
        <w:rPr>
          <w:rFonts w:ascii="SimHei" w:hAnsi="SimHei" w:eastAsia="SimHei" w:cs="SimHei"/>
          <w:sz w:val="28"/>
          <w:szCs w:val="28"/>
          <w:spacing w:val="-1"/>
        </w:rPr>
        <w:t xml:space="preserve">                </w:t>
      </w:r>
      <w:r>
        <w:rPr>
          <w:rFonts w:ascii="SimHei" w:hAnsi="SimHei" w:eastAsia="SimHei" w:cs="SimHei"/>
          <w:sz w:val="28"/>
          <w:szCs w:val="28"/>
          <w:spacing w:val="-1"/>
        </w:rPr>
        <w:t>202X-XX-XX</w:t>
      </w:r>
      <w:r>
        <w:rPr>
          <w:rFonts w:ascii="SimHei" w:hAnsi="SimHei" w:eastAsia="SimHei" w:cs="SimHei"/>
          <w:sz w:val="28"/>
          <w:szCs w:val="28"/>
          <w:spacing w:val="-1"/>
        </w:rPr>
        <w:t xml:space="preserve"> </w:t>
      </w:r>
      <w:r>
        <w:rPr>
          <w:rFonts w:ascii="SimHei" w:hAnsi="SimHei" w:eastAsia="SimHei" w:cs="SimHei"/>
          <w:sz w:val="28"/>
          <w:szCs w:val="28"/>
          <w:spacing w:val="-1"/>
        </w:rPr>
        <w:t>实施</w:t>
      </w:r>
    </w:p>
    <w:p>
      <w:pPr>
        <w:pStyle w:val="BodyText"/>
        <w:spacing w:line="366" w:lineRule="auto"/>
        <w:rPr/>
      </w:pPr>
      <w: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122309</wp:posOffset>
            </wp:positionV>
            <wp:extent cx="6121399" cy="12700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1399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2284"/>
        <w:spacing w:before="113" w:line="226" w:lineRule="auto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35"/>
          <w:szCs w:val="35"/>
          <w:spacing w:val="54"/>
          <w:w w:val="126"/>
        </w:rPr>
        <w:t>浙江省卫生健康委员会</w:t>
      </w:r>
      <w:r>
        <w:rPr>
          <w:rFonts w:ascii="SimHei" w:hAnsi="SimHei" w:eastAsia="SimHei" w:cs="SimHei"/>
          <w:sz w:val="35"/>
          <w:szCs w:val="35"/>
          <w:spacing w:val="168"/>
        </w:rPr>
        <w:t xml:space="preserve"> </w:t>
      </w:r>
      <w:r>
        <w:rPr>
          <w:rFonts w:ascii="SimHei" w:hAnsi="SimHei" w:eastAsia="SimHei" w:cs="SimHei"/>
          <w:sz w:val="28"/>
          <w:szCs w:val="28"/>
          <w:spacing w:val="54"/>
          <w:w w:val="126"/>
          <w:position w:val="2"/>
        </w:rPr>
        <w:t>发布</w:t>
      </w:r>
    </w:p>
    <w:p>
      <w:pPr>
        <w:spacing w:line="226" w:lineRule="auto"/>
        <w:sectPr>
          <w:footerReference w:type="default" r:id="rId2"/>
          <w:pgSz w:w="11905" w:h="16839"/>
          <w:pgMar w:top="400" w:right="737" w:bottom="400" w:left="1417" w:header="0" w:footer="0" w:gutter="0"/>
        </w:sectPr>
        <w:rPr>
          <w:rFonts w:ascii="SimHei" w:hAnsi="SimHei" w:eastAsia="SimHei" w:cs="SimHei"/>
          <w:sz w:val="28"/>
          <w:szCs w:val="28"/>
        </w:rPr>
      </w:pPr>
    </w:p>
    <w:p>
      <w:pPr>
        <w:pStyle w:val="BodyText"/>
        <w:rPr/>
      </w:pPr>
      <w:r/>
    </w:p>
    <w:p>
      <w:pPr>
        <w:sectPr>
          <w:pgSz w:w="11905" w:h="16839"/>
          <w:pgMar w:top="0" w:right="0" w:bottom="0" w:left="0" w:header="0" w:footer="0" w:gutter="0"/>
        </w:sectPr>
        <w:rPr/>
      </w:pPr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spacing w:before="57" w:line="199" w:lineRule="auto"/>
        <w:jc w:val="righ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DBS</w:t>
      </w:r>
      <w:r>
        <w:rPr>
          <w:rFonts w:ascii="Times New Roman" w:hAnsi="Times New Roman" w:eastAsia="Times New Roman" w:cs="Times New Roman"/>
          <w:sz w:val="20"/>
          <w:szCs w:val="20"/>
          <w:spacing w:val="9"/>
        </w:rPr>
        <w:t>33/ </w:t>
      </w:r>
      <w:r>
        <w:rPr>
          <w:rFonts w:ascii="Times New Roman" w:hAnsi="Times New Roman" w:eastAsia="Times New Roman" w:cs="Times New Roman"/>
          <w:sz w:val="20"/>
          <w:szCs w:val="20"/>
        </w:rPr>
        <w:t>XXXX</w:t>
      </w:r>
      <w:r>
        <w:rPr>
          <w:rFonts w:ascii="Times New Roman" w:hAnsi="Times New Roman" w:eastAsia="Times New Roman" w:cs="Times New Roman"/>
          <w:sz w:val="20"/>
          <w:szCs w:val="20"/>
          <w:spacing w:val="9"/>
        </w:rPr>
        <w:t>—2025</w:t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ind w:left="3981"/>
        <w:spacing w:before="101" w:line="228" w:lineRule="auto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-2"/>
        </w:rPr>
        <w:t>前</w:t>
      </w:r>
      <w:r>
        <w:rPr>
          <w:rFonts w:ascii="SimHei" w:hAnsi="SimHei" w:eastAsia="SimHei" w:cs="SimHei"/>
          <w:sz w:val="31"/>
          <w:szCs w:val="31"/>
          <w:spacing w:val="18"/>
        </w:rPr>
        <w:t xml:space="preserve">  </w:t>
      </w:r>
      <w:r>
        <w:rPr>
          <w:rFonts w:ascii="SimHei" w:hAnsi="SimHei" w:eastAsia="SimHei" w:cs="SimHei"/>
          <w:sz w:val="31"/>
          <w:szCs w:val="31"/>
          <w:spacing w:val="-2"/>
        </w:rPr>
        <w:t>言</w:t>
      </w:r>
    </w:p>
    <w:p>
      <w:pPr>
        <w:pStyle w:val="BodyText"/>
        <w:spacing w:line="319" w:lineRule="auto"/>
        <w:rPr/>
      </w:pPr>
      <w:r/>
    </w:p>
    <w:p>
      <w:pPr>
        <w:pStyle w:val="BodyText"/>
        <w:spacing w:line="320" w:lineRule="auto"/>
        <w:rPr/>
      </w:pPr>
      <w:r/>
    </w:p>
    <w:p>
      <w:pPr>
        <w:ind w:left="81"/>
        <w:spacing w:before="72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"/>
        </w:rPr>
        <w:t>本标准为首次发布。</w:t>
      </w:r>
    </w:p>
    <w:p>
      <w:pPr>
        <w:spacing w:line="219" w:lineRule="auto"/>
        <w:sectPr>
          <w:footerReference w:type="default" r:id="rId28"/>
          <w:pgSz w:w="11905" w:h="16839"/>
          <w:pgMar w:top="400" w:right="851" w:bottom="1125" w:left="1785" w:header="0" w:footer="893" w:gutter="0"/>
        </w:sectPr>
        <w:rPr>
          <w:rFonts w:ascii="SimSun" w:hAnsi="SimSun" w:eastAsia="SimSun" w:cs="SimSun"/>
          <w:sz w:val="22"/>
          <w:szCs w:val="22"/>
        </w:rPr>
      </w:pPr>
    </w:p>
    <w:p>
      <w:pPr>
        <w:pStyle w:val="BodyText"/>
        <w:rPr/>
      </w:pPr>
      <w:r/>
    </w:p>
    <w:p>
      <w:pPr>
        <w:sectPr>
          <w:footerReference w:type="default" r:id="rId2"/>
          <w:pgSz w:w="11905" w:h="16839"/>
          <w:pgMar w:top="0" w:right="0" w:bottom="0" w:left="0" w:header="0" w:footer="0" w:gutter="0"/>
        </w:sectPr>
        <w:rPr/>
      </w:pPr>
    </w:p>
    <w:p>
      <w:pPr>
        <w:pStyle w:val="BodyText"/>
        <w:spacing w:line="291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ind w:left="3638"/>
        <w:spacing w:before="101" w:line="226" w:lineRule="auto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8"/>
        </w:rPr>
        <w:t>食品安全地方标准</w:t>
      </w:r>
    </w:p>
    <w:p>
      <w:pPr>
        <w:ind w:left="4600"/>
        <w:spacing w:before="243" w:line="228" w:lineRule="auto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"/>
        </w:rPr>
        <w:t>灵芝</w:t>
      </w:r>
    </w:p>
    <w:p>
      <w:pPr>
        <w:pStyle w:val="BodyText"/>
        <w:spacing w:line="305" w:lineRule="auto"/>
        <w:rPr/>
      </w:pPr>
      <w:r/>
    </w:p>
    <w:p>
      <w:pPr>
        <w:ind w:left="107"/>
        <w:spacing w:before="65" w:line="231" w:lineRule="auto"/>
        <w:outlineLvl w:val="1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-3"/>
        </w:rPr>
        <w:t>1</w:t>
      </w:r>
      <w:r>
        <w:rPr>
          <w:rFonts w:ascii="SimHei" w:hAnsi="SimHei" w:eastAsia="SimHei" w:cs="SimHei"/>
          <w:sz w:val="20"/>
          <w:szCs w:val="20"/>
          <w:spacing w:val="10"/>
        </w:rPr>
        <w:t xml:space="preserve">  </w:t>
      </w:r>
      <w:r>
        <w:rPr>
          <w:rFonts w:ascii="SimHei" w:hAnsi="SimHei" w:eastAsia="SimHei" w:cs="SimHei"/>
          <w:sz w:val="20"/>
          <w:szCs w:val="20"/>
          <w:spacing w:val="-3"/>
        </w:rPr>
        <w:t>范围</w:t>
      </w:r>
    </w:p>
    <w:p>
      <w:pPr>
        <w:pStyle w:val="BodyText"/>
        <w:spacing w:line="253" w:lineRule="auto"/>
        <w:rPr/>
      </w:pPr>
      <w:r/>
    </w:p>
    <w:p>
      <w:pPr>
        <w:ind w:left="517"/>
        <w:spacing w:before="65" w:line="227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8"/>
        </w:rPr>
        <w:t>本标准适用于人工栽培的灵芝。</w:t>
      </w:r>
    </w:p>
    <w:p>
      <w:pPr>
        <w:ind w:left="94"/>
        <w:spacing w:before="282" w:line="231" w:lineRule="auto"/>
        <w:outlineLvl w:val="1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7"/>
        </w:rPr>
        <w:t>2</w:t>
      </w:r>
      <w:r>
        <w:rPr>
          <w:rFonts w:ascii="SimHei" w:hAnsi="SimHei" w:eastAsia="SimHei" w:cs="SimHei"/>
          <w:sz w:val="20"/>
          <w:szCs w:val="20"/>
          <w:spacing w:val="7"/>
        </w:rPr>
        <w:t xml:space="preserve">  </w:t>
      </w:r>
      <w:r>
        <w:rPr>
          <w:rFonts w:ascii="SimHei" w:hAnsi="SimHei" w:eastAsia="SimHei" w:cs="SimHei"/>
          <w:sz w:val="20"/>
          <w:szCs w:val="20"/>
          <w:spacing w:val="7"/>
        </w:rPr>
        <w:t>术语和定义</w:t>
      </w:r>
    </w:p>
    <w:p>
      <w:pPr>
        <w:pStyle w:val="BodyText"/>
        <w:spacing w:line="306" w:lineRule="auto"/>
        <w:rPr/>
      </w:pPr>
      <w:r/>
    </w:p>
    <w:p>
      <w:pPr>
        <w:ind w:left="94"/>
        <w:spacing w:before="66" w:line="231" w:lineRule="auto"/>
        <w:outlineLvl w:val="2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5"/>
        </w:rPr>
        <w:t>2.1</w:t>
      </w:r>
      <w:r>
        <w:rPr>
          <w:rFonts w:ascii="SimHei" w:hAnsi="SimHei" w:eastAsia="SimHei" w:cs="SimHei"/>
          <w:sz w:val="20"/>
          <w:szCs w:val="20"/>
          <w:spacing w:val="14"/>
        </w:rPr>
        <w:t xml:space="preserve"> </w:t>
      </w:r>
      <w:r>
        <w:rPr>
          <w:rFonts w:ascii="SimHei" w:hAnsi="SimHei" w:eastAsia="SimHei" w:cs="SimHei"/>
          <w:sz w:val="20"/>
          <w:szCs w:val="20"/>
          <w:spacing w:val="5"/>
        </w:rPr>
        <w:t>灵芝</w:t>
      </w:r>
    </w:p>
    <w:p>
      <w:pPr>
        <w:ind w:left="90" w:right="88" w:firstLine="449"/>
        <w:spacing w:before="130" w:line="301" w:lineRule="auto"/>
        <w:jc w:val="both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14"/>
        </w:rPr>
        <w:t>以人工栽培的多孔菌科真菌赤芝 </w:t>
      </w:r>
      <w:r>
        <w:rPr>
          <w:rFonts w:ascii="Times New Roman" w:hAnsi="Times New Roman" w:eastAsia="Times New Roman" w:cs="Times New Roman"/>
          <w:sz w:val="20"/>
          <w:szCs w:val="20"/>
          <w:spacing w:val="14"/>
        </w:rPr>
        <w:t>(</w:t>
      </w:r>
      <w:r>
        <w:rPr>
          <w:rFonts w:ascii="Times New Roman" w:hAnsi="Times New Roman" w:eastAsia="Times New Roman" w:cs="Times New Roman"/>
          <w:sz w:val="20"/>
          <w:szCs w:val="20"/>
          <w:i/>
          <w:iCs/>
        </w:rPr>
        <w:t>Ganoderma</w:t>
      </w:r>
      <w:r>
        <w:rPr>
          <w:rFonts w:ascii="Times New Roman" w:hAnsi="Times New Roman" w:eastAsia="Times New Roman" w:cs="Times New Roman"/>
          <w:sz w:val="20"/>
          <w:szCs w:val="20"/>
          <w:i/>
          <w:iCs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i/>
          <w:iCs/>
        </w:rPr>
        <w:t>lucidum</w:t>
      </w:r>
      <w:r>
        <w:rPr>
          <w:rFonts w:ascii="Times New Roman" w:hAnsi="Times New Roman" w:eastAsia="Times New Roman" w:cs="Times New Roman"/>
          <w:sz w:val="20"/>
          <w:szCs w:val="20"/>
          <w:i/>
          <w:iCs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>(</w:t>
      </w:r>
      <w:r>
        <w:rPr>
          <w:rFonts w:ascii="Times New Roman" w:hAnsi="Times New Roman" w:eastAsia="Times New Roman" w:cs="Times New Roman"/>
          <w:sz w:val="19"/>
          <w:szCs w:val="19"/>
        </w:rPr>
        <w:t>Leyss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>.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ex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Fr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>.)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Karst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>.</w:t>
      </w:r>
      <w:r>
        <w:rPr>
          <w:rFonts w:ascii="Times New Roman" w:hAnsi="Times New Roman" w:eastAsia="Times New Roman" w:cs="Times New Roman"/>
          <w:sz w:val="20"/>
          <w:szCs w:val="20"/>
          <w:spacing w:val="14"/>
        </w:rPr>
        <w:t>)</w:t>
      </w:r>
      <w:r>
        <w:rPr>
          <w:rFonts w:ascii="SimSun" w:hAnsi="SimSun" w:eastAsia="SimSun" w:cs="SimSun"/>
          <w:sz w:val="20"/>
          <w:szCs w:val="20"/>
          <w:spacing w:val="14"/>
        </w:rPr>
        <w:t>或紫芝 </w:t>
      </w:r>
      <w:r>
        <w:rPr>
          <w:rFonts w:ascii="Times New Roman" w:hAnsi="Times New Roman" w:eastAsia="Times New Roman" w:cs="Times New Roman"/>
          <w:sz w:val="20"/>
          <w:szCs w:val="20"/>
          <w:spacing w:val="14"/>
        </w:rPr>
        <w:t>(</w:t>
      </w:r>
      <w:r>
        <w:rPr>
          <w:rFonts w:ascii="Times New Roman" w:hAnsi="Times New Roman" w:eastAsia="Times New Roman" w:cs="Times New Roman"/>
          <w:sz w:val="20"/>
          <w:szCs w:val="20"/>
          <w:i/>
          <w:iCs/>
        </w:rPr>
        <w:t>Ganoderma</w:t>
      </w:r>
      <w:r>
        <w:rPr>
          <w:rFonts w:ascii="Times New Roman" w:hAnsi="Times New Roman" w:eastAsia="Times New Roman" w:cs="Times New Roman"/>
          <w:sz w:val="20"/>
          <w:szCs w:val="20"/>
          <w:i/>
          <w:iCs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i/>
          <w:iCs/>
        </w:rPr>
        <w:t>sinense </w:t>
      </w:r>
      <w:r>
        <w:rPr>
          <w:rFonts w:ascii="Times New Roman" w:hAnsi="Times New Roman" w:eastAsia="Times New Roman" w:cs="Times New Roman"/>
          <w:sz w:val="20"/>
          <w:szCs w:val="20"/>
        </w:rPr>
        <w:t>Zhao</w:t>
      </w:r>
      <w:r>
        <w:rPr>
          <w:rFonts w:ascii="Times New Roman" w:hAnsi="Times New Roman" w:eastAsia="Times New Roman" w:cs="Times New Roman"/>
          <w:sz w:val="20"/>
          <w:szCs w:val="20"/>
          <w:spacing w:val="11"/>
        </w:rPr>
        <w:t>, </w:t>
      </w:r>
      <w:r>
        <w:rPr>
          <w:rFonts w:ascii="Times New Roman" w:hAnsi="Times New Roman" w:eastAsia="Times New Roman" w:cs="Times New Roman"/>
          <w:sz w:val="20"/>
          <w:szCs w:val="20"/>
        </w:rPr>
        <w:t>Xu</w:t>
      </w:r>
      <w:r>
        <w:rPr>
          <w:rFonts w:ascii="Times New Roman" w:hAnsi="Times New Roman" w:eastAsia="Times New Roman" w:cs="Times New Roman"/>
          <w:sz w:val="20"/>
          <w:szCs w:val="20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et</w:t>
      </w:r>
      <w:r>
        <w:rPr>
          <w:rFonts w:ascii="Times New Roman" w:hAnsi="Times New Roman" w:eastAsia="Times New Roman" w:cs="Times New Roman"/>
          <w:sz w:val="20"/>
          <w:szCs w:val="20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Zhang</w:t>
      </w:r>
      <w:r>
        <w:rPr>
          <w:rFonts w:ascii="Times New Roman" w:hAnsi="Times New Roman" w:eastAsia="Times New Roman" w:cs="Times New Roman"/>
          <w:sz w:val="20"/>
          <w:szCs w:val="20"/>
          <w:spacing w:val="11"/>
        </w:rPr>
        <w:t>)</w:t>
      </w:r>
      <w:r>
        <w:rPr>
          <w:rFonts w:ascii="SimSun" w:hAnsi="SimSun" w:eastAsia="SimSun" w:cs="SimSun"/>
          <w:sz w:val="20"/>
          <w:szCs w:val="20"/>
          <w:spacing w:val="11"/>
        </w:rPr>
        <w:t>鲜品为原料，通过除杂、干燥等工序加</w:t>
      </w:r>
      <w:r>
        <w:rPr>
          <w:rFonts w:ascii="SimSun" w:hAnsi="SimSun" w:eastAsia="SimSun" w:cs="SimSun"/>
          <w:sz w:val="20"/>
          <w:szCs w:val="20"/>
          <w:spacing w:val="10"/>
        </w:rPr>
        <w:t>工而成的干燥子实体，供直接食用或作食品加工</w:t>
      </w:r>
      <w:r>
        <w:rPr>
          <w:rFonts w:ascii="SimSun" w:hAnsi="SimSun" w:eastAsia="SimSun" w:cs="SimSun"/>
          <w:sz w:val="20"/>
          <w:szCs w:val="2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5"/>
        </w:rPr>
        <w:t>原料。</w:t>
      </w:r>
    </w:p>
    <w:p>
      <w:pPr>
        <w:ind w:left="96"/>
        <w:spacing w:before="225" w:line="231" w:lineRule="auto"/>
        <w:outlineLvl w:val="1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5"/>
        </w:rPr>
        <w:t>3</w:t>
      </w:r>
      <w:r>
        <w:rPr>
          <w:rFonts w:ascii="SimHei" w:hAnsi="SimHei" w:eastAsia="SimHei" w:cs="SimHei"/>
          <w:sz w:val="20"/>
          <w:szCs w:val="20"/>
          <w:spacing w:val="9"/>
        </w:rPr>
        <w:t xml:space="preserve">  </w:t>
      </w:r>
      <w:r>
        <w:rPr>
          <w:rFonts w:ascii="SimHei" w:hAnsi="SimHei" w:eastAsia="SimHei" w:cs="SimHei"/>
          <w:sz w:val="20"/>
          <w:szCs w:val="20"/>
          <w:spacing w:val="5"/>
        </w:rPr>
        <w:t>技术要求</w:t>
      </w:r>
    </w:p>
    <w:p>
      <w:pPr>
        <w:pStyle w:val="BodyText"/>
        <w:spacing w:line="306" w:lineRule="auto"/>
        <w:rPr/>
      </w:pPr>
      <w:r/>
    </w:p>
    <w:p>
      <w:pPr>
        <w:ind w:left="96"/>
        <w:spacing w:before="66" w:line="231" w:lineRule="auto"/>
        <w:outlineLvl w:val="2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6"/>
        </w:rPr>
        <w:t>3.1</w:t>
      </w:r>
      <w:r>
        <w:rPr>
          <w:rFonts w:ascii="SimHei" w:hAnsi="SimHei" w:eastAsia="SimHei" w:cs="SimHei"/>
          <w:sz w:val="20"/>
          <w:szCs w:val="20"/>
          <w:spacing w:val="6"/>
        </w:rPr>
        <w:t xml:space="preserve">  </w:t>
      </w:r>
      <w:r>
        <w:rPr>
          <w:rFonts w:ascii="SimHei" w:hAnsi="SimHei" w:eastAsia="SimHei" w:cs="SimHei"/>
          <w:sz w:val="20"/>
          <w:szCs w:val="20"/>
          <w:spacing w:val="6"/>
        </w:rPr>
        <w:t>原辅料要求</w:t>
      </w:r>
    </w:p>
    <w:p>
      <w:pPr>
        <w:ind w:left="96" w:right="116"/>
        <w:spacing w:before="199" w:line="280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8"/>
        </w:rPr>
        <w:t>3.1.1</w:t>
      </w:r>
      <w:r>
        <w:rPr>
          <w:rFonts w:ascii="SimHei" w:hAnsi="SimHei" w:eastAsia="SimHei" w:cs="SimHei"/>
          <w:sz w:val="20"/>
          <w:szCs w:val="20"/>
          <w:spacing w:val="8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8"/>
        </w:rPr>
        <w:t>灵芝鲜品应新鲜、无虫蛀、无霉变、无腐烂，具有灵芝特有的自然品质特征及相应的色泽和气味，</w:t>
      </w:r>
      <w:r>
        <w:rPr>
          <w:rFonts w:ascii="SimSun" w:hAnsi="SimSun" w:eastAsia="SimSun" w:cs="SimSun"/>
          <w:sz w:val="20"/>
          <w:szCs w:val="20"/>
          <w:spacing w:val="5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8"/>
        </w:rPr>
        <w:t>栽培过程应符合国家相关标准的规定。</w:t>
      </w:r>
    </w:p>
    <w:p>
      <w:pPr>
        <w:ind w:left="96"/>
        <w:spacing w:before="113" w:line="231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5"/>
        </w:rPr>
        <w:t>3.1.2</w:t>
      </w:r>
      <w:r>
        <w:rPr>
          <w:rFonts w:ascii="SimHei" w:hAnsi="SimHei" w:eastAsia="SimHei" w:cs="SimHei"/>
          <w:sz w:val="20"/>
          <w:szCs w:val="20"/>
          <w:spacing w:val="5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5"/>
        </w:rPr>
        <w:t>生产加工用水应符合</w:t>
      </w:r>
      <w:r>
        <w:rPr>
          <w:rFonts w:ascii="SimSun" w:hAnsi="SimSun" w:eastAsia="SimSun" w:cs="SimSun"/>
          <w:sz w:val="20"/>
          <w:szCs w:val="20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GB</w:t>
      </w:r>
      <w:r>
        <w:rPr>
          <w:rFonts w:ascii="Times New Roman" w:hAnsi="Times New Roman" w:eastAsia="Times New Roman" w:cs="Times New Roman"/>
          <w:sz w:val="20"/>
          <w:szCs w:val="20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5"/>
        </w:rPr>
        <w:t>5749</w:t>
      </w:r>
      <w:r>
        <w:rPr>
          <w:rFonts w:ascii="Times New Roman" w:hAnsi="Times New Roman" w:eastAsia="Times New Roman" w:cs="Times New Roman"/>
          <w:sz w:val="20"/>
          <w:szCs w:val="20"/>
          <w:spacing w:val="27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5"/>
        </w:rPr>
        <w:t>的规定。</w:t>
      </w:r>
    </w:p>
    <w:p>
      <w:pPr>
        <w:ind w:left="96"/>
        <w:spacing w:before="129" w:line="231" w:lineRule="auto"/>
        <w:outlineLvl w:val="2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5"/>
        </w:rPr>
        <w:t>3.2</w:t>
      </w:r>
      <w:r>
        <w:rPr>
          <w:rFonts w:ascii="SimHei" w:hAnsi="SimHei" w:eastAsia="SimHei" w:cs="SimHei"/>
          <w:sz w:val="20"/>
          <w:szCs w:val="20"/>
          <w:spacing w:val="9"/>
        </w:rPr>
        <w:t xml:space="preserve">  </w:t>
      </w:r>
      <w:r>
        <w:rPr>
          <w:rFonts w:ascii="SimHei" w:hAnsi="SimHei" w:eastAsia="SimHei" w:cs="SimHei"/>
          <w:sz w:val="20"/>
          <w:szCs w:val="20"/>
          <w:spacing w:val="5"/>
        </w:rPr>
        <w:t>感官要求</w:t>
      </w:r>
    </w:p>
    <w:p>
      <w:pPr>
        <w:ind w:left="517"/>
        <w:spacing w:before="165" w:line="22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8"/>
        </w:rPr>
        <w:t>感官要求应符合表</w:t>
      </w:r>
      <w:r>
        <w:rPr>
          <w:rFonts w:ascii="Times New Roman" w:hAnsi="Times New Roman" w:eastAsia="Times New Roman" w:cs="Times New Roman"/>
          <w:sz w:val="20"/>
          <w:szCs w:val="20"/>
          <w:spacing w:val="8"/>
        </w:rPr>
        <w:t>1</w:t>
      </w:r>
      <w:r>
        <w:rPr>
          <w:rFonts w:ascii="SimSun" w:hAnsi="SimSun" w:eastAsia="SimSun" w:cs="SimSun"/>
          <w:sz w:val="20"/>
          <w:szCs w:val="20"/>
          <w:spacing w:val="8"/>
        </w:rPr>
        <w:t>的规定。</w:t>
      </w:r>
    </w:p>
    <w:p>
      <w:pPr>
        <w:ind w:left="4443"/>
        <w:spacing w:before="127" w:line="231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5"/>
        </w:rPr>
        <w:t>表1</w:t>
      </w:r>
      <w:r>
        <w:rPr>
          <w:rFonts w:ascii="SimHei" w:hAnsi="SimHei" w:eastAsia="SimHei" w:cs="SimHei"/>
          <w:sz w:val="20"/>
          <w:szCs w:val="20"/>
          <w:spacing w:val="10"/>
        </w:rPr>
        <w:t xml:space="preserve">  </w:t>
      </w:r>
      <w:r>
        <w:rPr>
          <w:rFonts w:ascii="SimHei" w:hAnsi="SimHei" w:eastAsia="SimHei" w:cs="SimHei"/>
          <w:sz w:val="20"/>
          <w:szCs w:val="20"/>
          <w:spacing w:val="5"/>
        </w:rPr>
        <w:t>感官要求</w:t>
      </w:r>
    </w:p>
    <w:p>
      <w:pPr>
        <w:spacing w:line="88" w:lineRule="exact"/>
        <w:rPr/>
      </w:pPr>
      <w:r/>
    </w:p>
    <w:tbl>
      <w:tblPr>
        <w:tblStyle w:val="TableNormal"/>
        <w:tblW w:w="9806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6"/>
        <w:gridCol w:w="3321"/>
        <w:gridCol w:w="3364"/>
        <w:gridCol w:w="1965"/>
      </w:tblGrid>
      <w:tr>
        <w:trPr>
          <w:trHeight w:val="349" w:hRule="atLeast"/>
        </w:trPr>
        <w:tc>
          <w:tcPr>
            <w:tcW w:w="115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05"/>
              <w:spacing w:before="291" w:line="220" w:lineRule="auto"/>
              <w:rPr/>
            </w:pPr>
            <w:r>
              <w:rPr>
                <w:spacing w:val="-5"/>
              </w:rPr>
              <w:t>项目</w:t>
            </w:r>
          </w:p>
        </w:tc>
        <w:tc>
          <w:tcPr>
            <w:tcW w:w="6685" w:type="dxa"/>
            <w:vAlign w:val="top"/>
            <w:gridSpan w:val="2"/>
          </w:tcPr>
          <w:p>
            <w:pPr>
              <w:pStyle w:val="TableText"/>
              <w:ind w:left="3031"/>
              <w:spacing w:before="116" w:line="221" w:lineRule="auto"/>
              <w:rPr/>
            </w:pPr>
            <w:r>
              <w:rPr>
                <w:spacing w:val="-4"/>
              </w:rPr>
              <w:t>要</w:t>
            </w:r>
            <w:r>
              <w:rPr>
                <w:spacing w:val="3"/>
              </w:rPr>
              <w:t xml:space="preserve">   </w:t>
            </w:r>
            <w:r>
              <w:rPr>
                <w:spacing w:val="-4"/>
              </w:rPr>
              <w:t>求</w:t>
            </w:r>
          </w:p>
        </w:tc>
        <w:tc>
          <w:tcPr>
            <w:tcW w:w="196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27"/>
              <w:spacing w:before="291" w:line="219" w:lineRule="auto"/>
              <w:rPr/>
            </w:pPr>
            <w:r>
              <w:rPr>
                <w:spacing w:val="-2"/>
              </w:rPr>
              <w:t>检验方法</w:t>
            </w:r>
          </w:p>
        </w:tc>
      </w:tr>
      <w:tr>
        <w:trPr>
          <w:trHeight w:val="344" w:hRule="atLeast"/>
        </w:trPr>
        <w:tc>
          <w:tcPr>
            <w:tcW w:w="115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21" w:type="dxa"/>
            <w:vAlign w:val="top"/>
          </w:tcPr>
          <w:p>
            <w:pPr>
              <w:pStyle w:val="TableText"/>
              <w:ind w:left="1668"/>
              <w:spacing w:before="113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3364" w:type="dxa"/>
            <w:vAlign w:val="top"/>
          </w:tcPr>
          <w:p>
            <w:pPr>
              <w:pStyle w:val="TableText"/>
              <w:ind w:left="1691"/>
              <w:spacing w:before="113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96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4" w:hRule="atLeast"/>
        </w:trPr>
        <w:tc>
          <w:tcPr>
            <w:tcW w:w="1156" w:type="dxa"/>
            <w:vAlign w:val="top"/>
          </w:tcPr>
          <w:p>
            <w:pPr>
              <w:pStyle w:val="TableText"/>
              <w:ind w:left="404"/>
              <w:spacing w:before="265" w:line="220" w:lineRule="auto"/>
              <w:rPr/>
            </w:pPr>
            <w:r>
              <w:rPr>
                <w:spacing w:val="-5"/>
              </w:rPr>
              <w:t>色泽</w:t>
            </w:r>
          </w:p>
        </w:tc>
        <w:tc>
          <w:tcPr>
            <w:tcW w:w="3321" w:type="dxa"/>
            <w:vAlign w:val="top"/>
          </w:tcPr>
          <w:p>
            <w:pPr>
              <w:pStyle w:val="TableText"/>
              <w:ind w:left="112" w:right="152"/>
              <w:spacing w:before="103" w:line="272" w:lineRule="auto"/>
              <w:rPr/>
            </w:pPr>
            <w:r>
              <w:rPr>
                <w:spacing w:val="-1"/>
              </w:rPr>
              <w:t>皮壳黄褐色至红褐色，有光泽；菌肉白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色至淡棕色</w:t>
            </w:r>
          </w:p>
        </w:tc>
        <w:tc>
          <w:tcPr>
            <w:tcW w:w="3364" w:type="dxa"/>
            <w:vAlign w:val="top"/>
          </w:tcPr>
          <w:p>
            <w:pPr>
              <w:pStyle w:val="TableText"/>
              <w:ind w:left="116"/>
              <w:spacing w:before="265" w:line="219" w:lineRule="auto"/>
              <w:rPr/>
            </w:pPr>
            <w:r>
              <w:rPr>
                <w:spacing w:val="-1"/>
              </w:rPr>
              <w:t>皮壳紫黑色，有漆样光泽；菌肉锈褐色</w:t>
            </w:r>
          </w:p>
        </w:tc>
        <w:tc>
          <w:tcPr>
            <w:tcW w:w="1965" w:type="dxa"/>
            <w:vAlign w:val="top"/>
            <w:vMerge w:val="restart"/>
            <w:tcBorders>
              <w:bottom w:val="nil"/>
            </w:tcBorders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6" w:right="84"/>
              <w:spacing w:before="58" w:line="329" w:lineRule="auto"/>
              <w:rPr/>
            </w:pPr>
            <w:r>
              <w:rPr>
                <w:spacing w:val="-2"/>
              </w:rPr>
              <w:t>取适量样品置于洁净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白色瓷盘中，在自然光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线下采用鼻嗅、</w:t>
            </w:r>
            <w:r>
              <w:rPr>
                <w:spacing w:val="-42"/>
              </w:rPr>
              <w:t xml:space="preserve"> </w:t>
            </w:r>
            <w:r>
              <w:rPr>
                <w:spacing w:val="-9"/>
              </w:rPr>
              <w:t>目测、</w:t>
            </w:r>
            <w:r>
              <w:rPr/>
              <w:t xml:space="preserve"> </w:t>
            </w:r>
            <w:r>
              <w:rPr>
                <w:spacing w:val="-2"/>
              </w:rPr>
              <w:t>口尝的方法进行检验</w:t>
            </w:r>
          </w:p>
        </w:tc>
      </w:tr>
      <w:tr>
        <w:trPr>
          <w:trHeight w:val="344" w:hRule="atLeast"/>
        </w:trPr>
        <w:tc>
          <w:tcPr>
            <w:tcW w:w="1156" w:type="dxa"/>
            <w:vAlign w:val="top"/>
          </w:tcPr>
          <w:p>
            <w:pPr>
              <w:pStyle w:val="TableText"/>
              <w:ind w:left="134"/>
              <w:spacing w:before="115" w:line="220" w:lineRule="auto"/>
              <w:rPr/>
            </w:pPr>
            <w:r>
              <w:rPr>
                <w:spacing w:val="-2"/>
              </w:rPr>
              <w:t>气味、滋味</w:t>
            </w:r>
          </w:p>
        </w:tc>
        <w:tc>
          <w:tcPr>
            <w:tcW w:w="3321" w:type="dxa"/>
            <w:vAlign w:val="top"/>
          </w:tcPr>
          <w:p>
            <w:pPr>
              <w:pStyle w:val="TableText"/>
              <w:ind w:left="110"/>
              <w:spacing w:before="115" w:line="219" w:lineRule="auto"/>
              <w:rPr/>
            </w:pPr>
            <w:r>
              <w:rPr>
                <w:spacing w:val="-2"/>
              </w:rPr>
              <w:t>气微香，味苦涩</w:t>
            </w:r>
          </w:p>
        </w:tc>
        <w:tc>
          <w:tcPr>
            <w:tcW w:w="3364" w:type="dxa"/>
            <w:vAlign w:val="top"/>
          </w:tcPr>
          <w:p>
            <w:pPr>
              <w:pStyle w:val="TableText"/>
              <w:ind w:left="113"/>
              <w:spacing w:before="115" w:line="219" w:lineRule="auto"/>
              <w:rPr/>
            </w:pPr>
            <w:r>
              <w:rPr>
                <w:spacing w:val="-2"/>
              </w:rPr>
              <w:t>气微香，味淡</w:t>
            </w:r>
          </w:p>
        </w:tc>
        <w:tc>
          <w:tcPr>
            <w:tcW w:w="196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68" w:hRule="atLeast"/>
        </w:trPr>
        <w:tc>
          <w:tcPr>
            <w:tcW w:w="1156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2"/>
              <w:spacing w:before="58" w:line="219" w:lineRule="auto"/>
              <w:rPr/>
            </w:pPr>
            <w:r>
              <w:rPr>
                <w:spacing w:val="-4"/>
              </w:rPr>
              <w:t>状态</w:t>
            </w:r>
          </w:p>
        </w:tc>
        <w:tc>
          <w:tcPr>
            <w:tcW w:w="3321" w:type="dxa"/>
            <w:vAlign w:val="top"/>
          </w:tcPr>
          <w:p>
            <w:pPr>
              <w:pStyle w:val="TableText"/>
              <w:ind w:left="112" w:right="152" w:firstLine="1"/>
              <w:spacing w:before="106" w:line="291" w:lineRule="auto"/>
              <w:jc w:val="both"/>
              <w:rPr/>
            </w:pPr>
            <w:r>
              <w:rPr>
                <w:spacing w:val="-1"/>
              </w:rPr>
              <w:t>外形呈伞状，菌盖肾形、半圆形或近圆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形；菌盖有显著环纹，无正常视力可见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的外来杂质</w:t>
            </w:r>
          </w:p>
        </w:tc>
        <w:tc>
          <w:tcPr>
            <w:tcW w:w="3364" w:type="dxa"/>
            <w:vAlign w:val="top"/>
          </w:tcPr>
          <w:p>
            <w:pPr>
              <w:pStyle w:val="TableText"/>
              <w:ind w:left="115" w:right="104" w:firstLine="1"/>
              <w:spacing w:before="106" w:line="291" w:lineRule="auto"/>
              <w:jc w:val="both"/>
              <w:rPr/>
            </w:pPr>
            <w:r>
              <w:rPr>
                <w:spacing w:val="-6"/>
              </w:rPr>
              <w:t>外形呈伞状，菌盖呈扇形、肾形、半圆形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或近圆形；菌盖有显著环纹和纵纹，无正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常视力可见的外来杂质</w:t>
            </w:r>
          </w:p>
        </w:tc>
        <w:tc>
          <w:tcPr>
            <w:tcW w:w="196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spacing w:line="383" w:lineRule="auto"/>
        <w:rPr/>
      </w:pPr>
      <w:r/>
    </w:p>
    <w:p>
      <w:pPr>
        <w:ind w:left="96"/>
        <w:spacing w:before="66" w:line="231" w:lineRule="auto"/>
        <w:outlineLvl w:val="2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6"/>
        </w:rPr>
        <w:t>3.3</w:t>
      </w:r>
      <w:r>
        <w:rPr>
          <w:rFonts w:ascii="SimHei" w:hAnsi="SimHei" w:eastAsia="SimHei" w:cs="SimHei"/>
          <w:sz w:val="20"/>
          <w:szCs w:val="20"/>
          <w:spacing w:val="6"/>
        </w:rPr>
        <w:t xml:space="preserve"> </w:t>
      </w:r>
      <w:r>
        <w:rPr>
          <w:rFonts w:ascii="SimHei" w:hAnsi="SimHei" w:eastAsia="SimHei" w:cs="SimHei"/>
          <w:sz w:val="20"/>
          <w:szCs w:val="20"/>
          <w:spacing w:val="6"/>
        </w:rPr>
        <w:t>理化指标</w:t>
      </w:r>
    </w:p>
    <w:p>
      <w:pPr>
        <w:ind w:left="518"/>
        <w:spacing w:before="164" w:line="22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5"/>
        </w:rPr>
        <w:t>理化指标应符合表</w:t>
      </w:r>
      <w:r>
        <w:rPr>
          <w:rFonts w:ascii="SimSun" w:hAnsi="SimSun" w:eastAsia="SimSun" w:cs="SimSun"/>
          <w:sz w:val="20"/>
          <w:szCs w:val="20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5"/>
        </w:rPr>
        <w:t>2</w:t>
      </w:r>
      <w:r>
        <w:rPr>
          <w:rFonts w:ascii="Times New Roman" w:hAnsi="Times New Roman" w:eastAsia="Times New Roman" w:cs="Times New Roman"/>
          <w:sz w:val="20"/>
          <w:szCs w:val="20"/>
          <w:spacing w:val="3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5"/>
        </w:rPr>
        <w:t>的规定。</w:t>
      </w:r>
    </w:p>
    <w:p>
      <w:pPr>
        <w:spacing w:line="228" w:lineRule="auto"/>
        <w:sectPr>
          <w:headerReference w:type="default" r:id="rId29"/>
          <w:footerReference w:type="default" r:id="rId30"/>
          <w:pgSz w:w="11905" w:h="16839"/>
          <w:pgMar w:top="1762" w:right="763" w:bottom="1067" w:left="1330" w:header="1440" w:footer="835" w:gutter="0"/>
        </w:sectPr>
        <w:rPr>
          <w:rFonts w:ascii="SimSun" w:hAnsi="SimSun" w:eastAsia="SimSun" w:cs="SimSun"/>
          <w:sz w:val="20"/>
          <w:szCs w:val="20"/>
        </w:rPr>
      </w:pPr>
    </w:p>
    <w:p>
      <w:pPr>
        <w:ind w:left="4370"/>
        <w:spacing w:before="104" w:line="231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6"/>
        </w:rPr>
        <w:t>表2</w:t>
      </w:r>
      <w:r>
        <w:rPr>
          <w:rFonts w:ascii="SimHei" w:hAnsi="SimHei" w:eastAsia="SimHei" w:cs="SimHei"/>
          <w:sz w:val="20"/>
          <w:szCs w:val="20"/>
          <w:spacing w:val="6"/>
        </w:rPr>
        <w:t xml:space="preserve">  </w:t>
      </w:r>
      <w:r>
        <w:rPr>
          <w:rFonts w:ascii="SimHei" w:hAnsi="SimHei" w:eastAsia="SimHei" w:cs="SimHei"/>
          <w:sz w:val="20"/>
          <w:szCs w:val="20"/>
          <w:spacing w:val="6"/>
        </w:rPr>
        <w:t>理化指标</w:t>
      </w:r>
    </w:p>
    <w:p>
      <w:pPr>
        <w:spacing w:line="89" w:lineRule="exact"/>
        <w:rPr/>
      </w:pPr>
      <w:r/>
    </w:p>
    <w:tbl>
      <w:tblPr>
        <w:tblStyle w:val="TableNormal"/>
        <w:tblW w:w="965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4145"/>
        <w:gridCol w:w="1473"/>
        <w:gridCol w:w="4041"/>
      </w:tblGrid>
      <w:tr>
        <w:trPr>
          <w:trHeight w:val="349" w:hRule="atLeast"/>
        </w:trPr>
        <w:tc>
          <w:tcPr>
            <w:tcW w:w="4145" w:type="dxa"/>
            <w:vAlign w:val="top"/>
          </w:tcPr>
          <w:p>
            <w:pPr>
              <w:pStyle w:val="TableText"/>
              <w:ind w:left="1481"/>
              <w:spacing w:before="117" w:line="220" w:lineRule="auto"/>
              <w:rPr/>
            </w:pPr>
            <w:r>
              <w:rPr>
                <w:spacing w:val="-5"/>
              </w:rPr>
              <w:t>项</w:t>
            </w:r>
            <w:r>
              <w:rPr>
                <w:spacing w:val="13"/>
              </w:rPr>
              <w:t xml:space="preserve">   </w:t>
            </w:r>
            <w:r>
              <w:rPr>
                <w:spacing w:val="-5"/>
              </w:rPr>
              <w:t>目</w:t>
            </w:r>
          </w:p>
        </w:tc>
        <w:tc>
          <w:tcPr>
            <w:tcW w:w="1473" w:type="dxa"/>
            <w:vAlign w:val="top"/>
          </w:tcPr>
          <w:p>
            <w:pPr>
              <w:pStyle w:val="TableText"/>
              <w:ind w:left="563"/>
              <w:spacing w:before="117" w:line="220" w:lineRule="auto"/>
              <w:rPr/>
            </w:pPr>
            <w:r>
              <w:rPr>
                <w:spacing w:val="-5"/>
              </w:rPr>
              <w:t>指标</w:t>
            </w:r>
          </w:p>
        </w:tc>
        <w:tc>
          <w:tcPr>
            <w:tcW w:w="4041" w:type="dxa"/>
            <w:vAlign w:val="top"/>
          </w:tcPr>
          <w:p>
            <w:pPr>
              <w:pStyle w:val="TableText"/>
              <w:ind w:left="1664"/>
              <w:spacing w:before="117" w:line="219" w:lineRule="auto"/>
              <w:rPr/>
            </w:pPr>
            <w:r>
              <w:rPr>
                <w:spacing w:val="-2"/>
              </w:rPr>
              <w:t>检验方法</w:t>
            </w:r>
          </w:p>
        </w:tc>
      </w:tr>
      <w:tr>
        <w:trPr>
          <w:trHeight w:val="344" w:hRule="atLeast"/>
        </w:trPr>
        <w:tc>
          <w:tcPr>
            <w:tcW w:w="4145" w:type="dxa"/>
            <w:vAlign w:val="top"/>
          </w:tcPr>
          <w:p>
            <w:pPr>
              <w:pStyle w:val="TableText"/>
              <w:ind w:left="117"/>
              <w:spacing w:before="113" w:line="212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pacing w:val="-1"/>
              </w:rPr>
              <w:t>水分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/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g/100g</w:t>
            </w:r>
            <w:r>
              <w:rPr>
                <w:spacing w:val="-1"/>
              </w:rPr>
              <w:t>）</w:t>
            </w:r>
            <w:r>
              <w:rPr>
                <w:spacing w:val="1"/>
              </w:rPr>
              <w:t xml:space="preserve">                           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≤</w:t>
            </w:r>
          </w:p>
        </w:tc>
        <w:tc>
          <w:tcPr>
            <w:tcW w:w="1473" w:type="dxa"/>
            <w:vAlign w:val="top"/>
          </w:tcPr>
          <w:p>
            <w:pPr>
              <w:ind w:left="597"/>
              <w:spacing w:before="144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6"/>
              </w:rPr>
              <w:t>12.0</w:t>
            </w:r>
          </w:p>
        </w:tc>
        <w:tc>
          <w:tcPr>
            <w:tcW w:w="4041" w:type="dxa"/>
            <w:vAlign w:val="top"/>
          </w:tcPr>
          <w:p>
            <w:pPr>
              <w:ind w:left="1809"/>
              <w:spacing w:before="144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GB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5009.3</w:t>
            </w:r>
          </w:p>
        </w:tc>
      </w:tr>
      <w:tr>
        <w:trPr>
          <w:trHeight w:val="344" w:hRule="atLeast"/>
        </w:trPr>
        <w:tc>
          <w:tcPr>
            <w:tcW w:w="4145" w:type="dxa"/>
            <w:vAlign w:val="top"/>
          </w:tcPr>
          <w:p>
            <w:pPr>
              <w:pStyle w:val="TableText"/>
              <w:ind w:left="120"/>
              <w:spacing w:before="114" w:line="21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pacing w:val="-2"/>
              </w:rPr>
              <w:t>总灰分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/</w:t>
            </w:r>
            <w:r>
              <w:rPr>
                <w:spacing w:val="-2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g/100g</w:t>
            </w:r>
            <w:r>
              <w:rPr>
                <w:spacing w:val="-2"/>
              </w:rPr>
              <w:t>）</w:t>
            </w:r>
            <w:r>
              <w:rPr>
                <w:spacing w:val="2"/>
              </w:rPr>
              <w:t xml:space="preserve">                         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≤</w:t>
            </w:r>
          </w:p>
        </w:tc>
        <w:tc>
          <w:tcPr>
            <w:tcW w:w="1473" w:type="dxa"/>
            <w:vAlign w:val="top"/>
          </w:tcPr>
          <w:p>
            <w:pPr>
              <w:ind w:left="629"/>
              <w:spacing w:before="143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3.0</w:t>
            </w:r>
          </w:p>
        </w:tc>
        <w:tc>
          <w:tcPr>
            <w:tcW w:w="4041" w:type="dxa"/>
            <w:vAlign w:val="top"/>
          </w:tcPr>
          <w:p>
            <w:pPr>
              <w:ind w:left="1809"/>
              <w:spacing w:before="143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GB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5009.4</w:t>
            </w:r>
          </w:p>
        </w:tc>
      </w:tr>
      <w:tr>
        <w:trPr>
          <w:trHeight w:val="344" w:hRule="atLeast"/>
        </w:trPr>
        <w:tc>
          <w:tcPr>
            <w:tcW w:w="4145" w:type="dxa"/>
            <w:vAlign w:val="top"/>
          </w:tcPr>
          <w:p>
            <w:pPr>
              <w:pStyle w:val="TableText"/>
              <w:ind w:left="124"/>
              <w:spacing w:before="115" w:line="21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pacing w:val="-1"/>
              </w:rPr>
              <w:t>多糖（以无水葡萄糖计）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/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g/100g</w:t>
            </w:r>
            <w:r>
              <w:rPr>
                <w:spacing w:val="-1"/>
              </w:rPr>
              <w:t>）</w:t>
            </w:r>
            <w:r>
              <w:rPr>
                <w:spacing w:val="4"/>
              </w:rPr>
              <w:t xml:space="preserve">         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≥</w:t>
            </w:r>
          </w:p>
        </w:tc>
        <w:tc>
          <w:tcPr>
            <w:tcW w:w="1473" w:type="dxa"/>
            <w:vAlign w:val="top"/>
          </w:tcPr>
          <w:p>
            <w:pPr>
              <w:ind w:left="582"/>
              <w:spacing w:before="145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0.90</w:t>
            </w:r>
          </w:p>
        </w:tc>
        <w:tc>
          <w:tcPr>
            <w:tcW w:w="4041" w:type="dxa"/>
            <w:vAlign w:val="top"/>
          </w:tcPr>
          <w:p>
            <w:pPr>
              <w:pStyle w:val="TableText"/>
              <w:ind w:left="656"/>
              <w:spacing w:before="116" w:line="219" w:lineRule="auto"/>
              <w:rPr/>
            </w:pPr>
            <w:r>
              <w:rPr>
                <w:spacing w:val="-1"/>
              </w:rPr>
              <w:t>《中华人民共和国药典》（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2020 </w:t>
            </w:r>
            <w:r>
              <w:rPr>
                <w:spacing w:val="-1"/>
              </w:rPr>
              <w:t>年版）</w:t>
            </w:r>
          </w:p>
        </w:tc>
      </w:tr>
      <w:tr>
        <w:trPr>
          <w:trHeight w:val="348" w:hRule="atLeast"/>
        </w:trPr>
        <w:tc>
          <w:tcPr>
            <w:tcW w:w="4145" w:type="dxa"/>
            <w:vAlign w:val="top"/>
          </w:tcPr>
          <w:p>
            <w:pPr>
              <w:pStyle w:val="TableText"/>
              <w:ind w:left="115"/>
              <w:spacing w:before="115" w:line="212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pacing w:val="-1"/>
              </w:rPr>
              <w:t>三萜及甾醇（以齐墩果酸计）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/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g/100g</w:t>
            </w:r>
            <w:r>
              <w:rPr>
                <w:spacing w:val="-1"/>
              </w:rPr>
              <w:t>）</w:t>
            </w:r>
            <w:r>
              <w:rPr>
                <w:spacing w:val="9"/>
              </w:rPr>
              <w:t xml:space="preserve">     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≥</w:t>
            </w:r>
          </w:p>
        </w:tc>
        <w:tc>
          <w:tcPr>
            <w:tcW w:w="1473" w:type="dxa"/>
            <w:vAlign w:val="top"/>
          </w:tcPr>
          <w:p>
            <w:pPr>
              <w:ind w:left="582"/>
              <w:spacing w:before="14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0.50</w:t>
            </w:r>
          </w:p>
        </w:tc>
        <w:tc>
          <w:tcPr>
            <w:tcW w:w="4041" w:type="dxa"/>
            <w:vAlign w:val="top"/>
          </w:tcPr>
          <w:p>
            <w:pPr>
              <w:pStyle w:val="TableText"/>
              <w:ind w:left="656"/>
              <w:spacing w:before="115" w:line="219" w:lineRule="auto"/>
              <w:rPr/>
            </w:pPr>
            <w:r>
              <w:rPr>
                <w:spacing w:val="-1"/>
              </w:rPr>
              <w:t>《中华人民共和国药典》（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2020 </w:t>
            </w:r>
            <w:r>
              <w:rPr>
                <w:spacing w:val="-1"/>
              </w:rPr>
              <w:t>年版）</w:t>
            </w:r>
          </w:p>
        </w:tc>
      </w:tr>
    </w:tbl>
    <w:p>
      <w:pPr>
        <w:ind w:left="23"/>
        <w:spacing w:before="130" w:line="230" w:lineRule="auto"/>
        <w:outlineLvl w:val="2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5"/>
        </w:rPr>
        <w:t>3.4</w:t>
      </w:r>
      <w:r>
        <w:rPr>
          <w:rFonts w:ascii="SimHei" w:hAnsi="SimHei" w:eastAsia="SimHei" w:cs="SimHei"/>
          <w:sz w:val="20"/>
          <w:szCs w:val="20"/>
          <w:spacing w:val="19"/>
        </w:rPr>
        <w:t xml:space="preserve"> </w:t>
      </w:r>
      <w:r>
        <w:rPr>
          <w:rFonts w:ascii="SimHei" w:hAnsi="SimHei" w:eastAsia="SimHei" w:cs="SimHei"/>
          <w:sz w:val="20"/>
          <w:szCs w:val="20"/>
          <w:spacing w:val="5"/>
        </w:rPr>
        <w:t>污染物限量</w:t>
      </w:r>
    </w:p>
    <w:p>
      <w:pPr>
        <w:ind w:left="445"/>
        <w:spacing w:before="165" w:line="22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5"/>
        </w:rPr>
        <w:t>污染物限量应符合表</w:t>
      </w:r>
      <w:r>
        <w:rPr>
          <w:rFonts w:ascii="SimSun" w:hAnsi="SimSun" w:eastAsia="SimSun" w:cs="SimSun"/>
          <w:sz w:val="20"/>
          <w:szCs w:val="20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5"/>
        </w:rPr>
        <w:t>3</w:t>
      </w:r>
      <w:r>
        <w:rPr>
          <w:rFonts w:ascii="Times New Roman" w:hAnsi="Times New Roman" w:eastAsia="Times New Roman" w:cs="Times New Roman"/>
          <w:sz w:val="20"/>
          <w:szCs w:val="20"/>
          <w:spacing w:val="3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5"/>
        </w:rPr>
        <w:t>的规定。</w:t>
      </w:r>
    </w:p>
    <w:p>
      <w:pPr>
        <w:ind w:left="4291"/>
        <w:spacing w:before="108" w:line="266" w:lineRule="exact"/>
        <w:rPr>
          <w:rFonts w:ascii="SimHei" w:hAnsi="SimHei" w:eastAsia="SimHei" w:cs="SimHei"/>
          <w:sz w:val="10"/>
          <w:szCs w:val="10"/>
        </w:rPr>
      </w:pPr>
      <w:r>
        <w:rPr>
          <w:rFonts w:ascii="SimHei" w:hAnsi="SimHei" w:eastAsia="SimHei" w:cs="SimHei"/>
          <w:sz w:val="20"/>
          <w:szCs w:val="20"/>
          <w:spacing w:val="5"/>
          <w:position w:val="1"/>
        </w:rPr>
        <w:t>表3</w:t>
      </w:r>
      <w:r>
        <w:rPr>
          <w:rFonts w:ascii="SimHei" w:hAnsi="SimHei" w:eastAsia="SimHei" w:cs="SimHei"/>
          <w:sz w:val="20"/>
          <w:szCs w:val="20"/>
          <w:spacing w:val="21"/>
          <w:position w:val="1"/>
        </w:rPr>
        <w:t xml:space="preserve"> </w:t>
      </w:r>
      <w:r>
        <w:rPr>
          <w:rFonts w:ascii="SimHei" w:hAnsi="SimHei" w:eastAsia="SimHei" w:cs="SimHei"/>
          <w:sz w:val="20"/>
          <w:szCs w:val="20"/>
          <w:spacing w:val="5"/>
          <w:position w:val="1"/>
        </w:rPr>
        <w:t>污染物限量</w:t>
      </w:r>
      <w:r>
        <w:rPr>
          <w:rFonts w:ascii="SimHei" w:hAnsi="SimHei" w:eastAsia="SimHei" w:cs="SimHei"/>
          <w:sz w:val="10"/>
          <w:szCs w:val="10"/>
          <w:spacing w:val="5"/>
          <w:position w:val="11"/>
        </w:rPr>
        <w:t>a</w:t>
      </w:r>
    </w:p>
    <w:p>
      <w:pPr>
        <w:spacing w:line="89" w:lineRule="exact"/>
        <w:rPr/>
      </w:pPr>
      <w:r/>
    </w:p>
    <w:tbl>
      <w:tblPr>
        <w:tblStyle w:val="TableNormal"/>
        <w:tblW w:w="9573" w:type="dxa"/>
        <w:tblInd w:w="4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4793"/>
        <w:gridCol w:w="1777"/>
        <w:gridCol w:w="3003"/>
      </w:tblGrid>
      <w:tr>
        <w:trPr>
          <w:trHeight w:val="349" w:hRule="atLeast"/>
        </w:trPr>
        <w:tc>
          <w:tcPr>
            <w:tcW w:w="4793" w:type="dxa"/>
            <w:vAlign w:val="top"/>
          </w:tcPr>
          <w:p>
            <w:pPr>
              <w:pStyle w:val="TableText"/>
              <w:ind w:left="2134"/>
              <w:spacing w:before="117" w:line="220" w:lineRule="auto"/>
              <w:rPr/>
            </w:pPr>
            <w:r>
              <w:rPr>
                <w:spacing w:val="-5"/>
              </w:rPr>
              <w:t>项</w:t>
            </w:r>
            <w:r>
              <w:rPr>
                <w:spacing w:val="20"/>
              </w:rPr>
              <w:t xml:space="preserve">  </w:t>
            </w:r>
            <w:r>
              <w:rPr>
                <w:spacing w:val="-5"/>
              </w:rPr>
              <w:t>目</w:t>
            </w:r>
          </w:p>
        </w:tc>
        <w:tc>
          <w:tcPr>
            <w:tcW w:w="1777" w:type="dxa"/>
            <w:vAlign w:val="top"/>
          </w:tcPr>
          <w:p>
            <w:pPr>
              <w:pStyle w:val="TableText"/>
              <w:ind w:left="725"/>
              <w:spacing w:before="117" w:line="220" w:lineRule="auto"/>
              <w:rPr/>
            </w:pPr>
            <w:r>
              <w:rPr>
                <w:spacing w:val="-10"/>
              </w:rPr>
              <w:t>限量</w:t>
            </w:r>
          </w:p>
        </w:tc>
        <w:tc>
          <w:tcPr>
            <w:tcW w:w="3003" w:type="dxa"/>
            <w:vAlign w:val="top"/>
          </w:tcPr>
          <w:p>
            <w:pPr>
              <w:pStyle w:val="TableText"/>
              <w:ind w:left="1146"/>
              <w:spacing w:before="118" w:line="219" w:lineRule="auto"/>
              <w:rPr/>
            </w:pPr>
            <w:r>
              <w:rPr>
                <w:spacing w:val="-2"/>
              </w:rPr>
              <w:t>检验方法</w:t>
            </w:r>
          </w:p>
        </w:tc>
      </w:tr>
      <w:tr>
        <w:trPr>
          <w:trHeight w:val="344" w:hRule="atLeast"/>
        </w:trPr>
        <w:tc>
          <w:tcPr>
            <w:tcW w:w="4793" w:type="dxa"/>
            <w:vAlign w:val="top"/>
          </w:tcPr>
          <w:p>
            <w:pPr>
              <w:pStyle w:val="TableText"/>
              <w:ind w:left="115"/>
              <w:spacing w:before="113" w:line="21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pacing w:val="-1"/>
              </w:rPr>
              <w:t>铅（以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Pb</w:t>
            </w:r>
            <w:r>
              <w:rPr>
                <w:spacing w:val="-1"/>
              </w:rPr>
              <w:t>计</w:t>
            </w:r>
            <w:r>
              <w:rPr/>
              <w:t>），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</w:p>
        </w:tc>
        <w:tc>
          <w:tcPr>
            <w:tcW w:w="1777" w:type="dxa"/>
            <w:vAlign w:val="top"/>
          </w:tcPr>
          <w:p>
            <w:pPr>
              <w:ind w:left="794"/>
              <w:spacing w:before="143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1.0</w:t>
            </w:r>
          </w:p>
        </w:tc>
        <w:tc>
          <w:tcPr>
            <w:tcW w:w="3003" w:type="dxa"/>
            <w:vAlign w:val="top"/>
          </w:tcPr>
          <w:p>
            <w:pPr>
              <w:pStyle w:val="TableText"/>
              <w:ind w:left="490"/>
              <w:spacing w:before="114" w:line="223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2"/>
              </w:rPr>
              <w:t>GB</w:t>
            </w:r>
            <w:r>
              <w:rPr>
                <w:rFonts w:ascii="Times New Roman" w:hAnsi="Times New Roman" w:eastAsia="Times New Roman" w:cs="Times New Roman"/>
                <w:spacing w:val="1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5009.</w:t>
            </w:r>
            <w:r>
              <w:rPr>
                <w:rFonts w:ascii="Times New Roman" w:hAnsi="Times New Roman" w:eastAsia="Times New Roman" w:cs="Times New Roman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12</w:t>
            </w:r>
            <w:r>
              <w:rPr>
                <w:spacing w:val="-2"/>
              </w:rPr>
              <w:t>或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GB 5009.268</w:t>
            </w:r>
          </w:p>
        </w:tc>
      </w:tr>
      <w:tr>
        <w:trPr>
          <w:trHeight w:val="344" w:hRule="atLeast"/>
        </w:trPr>
        <w:tc>
          <w:tcPr>
            <w:tcW w:w="4793" w:type="dxa"/>
            <w:vAlign w:val="top"/>
          </w:tcPr>
          <w:p>
            <w:pPr>
              <w:pStyle w:val="TableText"/>
              <w:ind w:left="120"/>
              <w:spacing w:before="113" w:line="212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pacing w:val="-2"/>
              </w:rPr>
              <w:t>总砷（以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As</w:t>
            </w:r>
            <w:r>
              <w:rPr>
                <w:spacing w:val="-2"/>
              </w:rPr>
              <w:t>计</w:t>
            </w:r>
            <w:r>
              <w:rPr>
                <w:spacing w:val="4"/>
              </w:rPr>
              <w:t>），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mg/kg</w:t>
            </w:r>
          </w:p>
        </w:tc>
        <w:tc>
          <w:tcPr>
            <w:tcW w:w="1777" w:type="dxa"/>
            <w:vAlign w:val="top"/>
          </w:tcPr>
          <w:p>
            <w:pPr>
              <w:ind w:left="794"/>
              <w:spacing w:before="144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1.0</w:t>
            </w:r>
          </w:p>
        </w:tc>
        <w:tc>
          <w:tcPr>
            <w:tcW w:w="3003" w:type="dxa"/>
            <w:vAlign w:val="top"/>
          </w:tcPr>
          <w:p>
            <w:pPr>
              <w:pStyle w:val="TableText"/>
              <w:ind w:left="490"/>
              <w:spacing w:before="113" w:line="223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2"/>
              </w:rPr>
              <w:t>GB</w:t>
            </w:r>
            <w:r>
              <w:rPr>
                <w:rFonts w:ascii="Times New Roman" w:hAnsi="Times New Roman" w:eastAsia="Times New Roman" w:cs="Times New Roman"/>
                <w:spacing w:val="1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5009.</w:t>
            </w:r>
            <w:r>
              <w:rPr>
                <w:rFonts w:ascii="Times New Roman" w:hAnsi="Times New Roman" w:eastAsia="Times New Roman" w:cs="Times New Roman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11</w:t>
            </w:r>
            <w:r>
              <w:rPr>
                <w:spacing w:val="-2"/>
              </w:rPr>
              <w:t>或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GB 5009.268</w:t>
            </w:r>
          </w:p>
        </w:tc>
      </w:tr>
      <w:tr>
        <w:trPr>
          <w:trHeight w:val="344" w:hRule="atLeast"/>
        </w:trPr>
        <w:tc>
          <w:tcPr>
            <w:tcW w:w="4793" w:type="dxa"/>
            <w:vAlign w:val="top"/>
          </w:tcPr>
          <w:p>
            <w:pPr>
              <w:pStyle w:val="TableText"/>
              <w:ind w:left="120"/>
              <w:spacing w:before="114" w:line="212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pacing w:val="-2"/>
              </w:rPr>
              <w:t>总汞（以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Hg</w:t>
            </w:r>
            <w:r>
              <w:rPr>
                <w:spacing w:val="-2"/>
              </w:rPr>
              <w:t>计</w:t>
            </w:r>
            <w:r>
              <w:rPr>
                <w:spacing w:val="4"/>
              </w:rPr>
              <w:t>），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mg/kg</w:t>
            </w:r>
          </w:p>
        </w:tc>
        <w:tc>
          <w:tcPr>
            <w:tcW w:w="1777" w:type="dxa"/>
            <w:vAlign w:val="top"/>
          </w:tcPr>
          <w:p>
            <w:pPr>
              <w:ind w:left="779"/>
              <w:spacing w:before="145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</w:t>
            </w:r>
          </w:p>
        </w:tc>
        <w:tc>
          <w:tcPr>
            <w:tcW w:w="3003" w:type="dxa"/>
            <w:vAlign w:val="top"/>
          </w:tcPr>
          <w:p>
            <w:pPr>
              <w:pStyle w:val="TableText"/>
              <w:ind w:left="490"/>
              <w:spacing w:before="114" w:line="223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2"/>
              </w:rPr>
              <w:t>GB</w:t>
            </w:r>
            <w:r>
              <w:rPr>
                <w:rFonts w:ascii="Times New Roman" w:hAnsi="Times New Roman" w:eastAsia="Times New Roman" w:cs="Times New Roman"/>
                <w:spacing w:val="1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5009.</w:t>
            </w:r>
            <w:r>
              <w:rPr>
                <w:rFonts w:ascii="Times New Roman" w:hAnsi="Times New Roman" w:eastAsia="Times New Roman" w:cs="Times New Roman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17</w:t>
            </w:r>
            <w:r>
              <w:rPr>
                <w:spacing w:val="-2"/>
              </w:rPr>
              <w:t>或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GB 5009.268</w:t>
            </w:r>
          </w:p>
        </w:tc>
      </w:tr>
      <w:tr>
        <w:trPr>
          <w:trHeight w:val="344" w:hRule="atLeast"/>
        </w:trPr>
        <w:tc>
          <w:tcPr>
            <w:tcW w:w="4793" w:type="dxa"/>
            <w:vAlign w:val="top"/>
          </w:tcPr>
          <w:p>
            <w:pPr>
              <w:pStyle w:val="TableText"/>
              <w:ind w:left="114"/>
              <w:spacing w:before="116" w:line="212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pacing w:val="-1"/>
              </w:rPr>
              <w:t>镉（以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Cd</w:t>
            </w:r>
            <w:r>
              <w:rPr>
                <w:spacing w:val="-1"/>
              </w:rPr>
              <w:t>计</w:t>
            </w:r>
            <w:r>
              <w:rPr>
                <w:spacing w:val="1"/>
              </w:rPr>
              <w:t>），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</w:p>
        </w:tc>
        <w:tc>
          <w:tcPr>
            <w:tcW w:w="1777" w:type="dxa"/>
            <w:vAlign w:val="top"/>
          </w:tcPr>
          <w:p>
            <w:pPr>
              <w:ind w:left="779"/>
              <w:spacing w:before="14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0.5</w:t>
            </w:r>
          </w:p>
        </w:tc>
        <w:tc>
          <w:tcPr>
            <w:tcW w:w="3003" w:type="dxa"/>
            <w:vAlign w:val="top"/>
          </w:tcPr>
          <w:p>
            <w:pPr>
              <w:pStyle w:val="TableText"/>
              <w:ind w:left="490"/>
              <w:spacing w:before="115" w:line="223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2"/>
              </w:rPr>
              <w:t>GB</w:t>
            </w:r>
            <w:r>
              <w:rPr>
                <w:rFonts w:ascii="Times New Roman" w:hAnsi="Times New Roman" w:eastAsia="Times New Roman" w:cs="Times New Roman"/>
                <w:spacing w:val="1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5009.</w:t>
            </w:r>
            <w:r>
              <w:rPr>
                <w:rFonts w:ascii="Times New Roman" w:hAnsi="Times New Roman" w:eastAsia="Times New Roman" w:cs="Times New Roman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15</w:t>
            </w:r>
            <w:r>
              <w:rPr>
                <w:spacing w:val="-2"/>
              </w:rPr>
              <w:t>或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GB 5009.268</w:t>
            </w:r>
          </w:p>
        </w:tc>
      </w:tr>
      <w:tr>
        <w:trPr>
          <w:trHeight w:val="349" w:hRule="atLeast"/>
        </w:trPr>
        <w:tc>
          <w:tcPr>
            <w:tcW w:w="9573" w:type="dxa"/>
            <w:vAlign w:val="top"/>
            <w:gridSpan w:val="3"/>
          </w:tcPr>
          <w:p>
            <w:pPr>
              <w:pStyle w:val="TableText"/>
              <w:ind w:left="112"/>
              <w:spacing w:before="117" w:line="219" w:lineRule="auto"/>
              <w:rPr/>
            </w:pPr>
            <w:r>
              <w:rPr>
                <w:rFonts w:ascii="Times New Roman" w:hAnsi="Times New Roman" w:eastAsia="Times New Roman" w:cs="Times New Roman"/>
                <w:sz w:val="11"/>
                <w:szCs w:val="11"/>
                <w:position w:val="5"/>
              </w:rPr>
              <w:t>a   </w:t>
            </w:r>
            <w:r>
              <w:rPr/>
              <w:t>污染物限量基于干品确定，鲜品根据干品按水分进行折算。</w:t>
            </w:r>
          </w:p>
        </w:tc>
      </w:tr>
    </w:tbl>
    <w:p>
      <w:pPr>
        <w:ind w:left="23"/>
        <w:spacing w:before="129" w:line="231" w:lineRule="auto"/>
        <w:outlineLvl w:val="2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6"/>
        </w:rPr>
        <w:t>3.5</w:t>
      </w:r>
      <w:r>
        <w:rPr>
          <w:rFonts w:ascii="SimHei" w:hAnsi="SimHei" w:eastAsia="SimHei" w:cs="SimHei"/>
          <w:sz w:val="20"/>
          <w:szCs w:val="20"/>
          <w:spacing w:val="6"/>
        </w:rPr>
        <w:t xml:space="preserve">  </w:t>
      </w:r>
      <w:r>
        <w:rPr>
          <w:rFonts w:ascii="SimHei" w:hAnsi="SimHei" w:eastAsia="SimHei" w:cs="SimHei"/>
          <w:sz w:val="20"/>
          <w:szCs w:val="20"/>
          <w:spacing w:val="6"/>
        </w:rPr>
        <w:t>农药限量</w:t>
      </w:r>
    </w:p>
    <w:p>
      <w:pPr>
        <w:ind w:left="443"/>
        <w:spacing w:before="165" w:line="227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8"/>
        </w:rPr>
        <w:t>农药限量应符合</w:t>
      </w:r>
      <w:r>
        <w:rPr>
          <w:rFonts w:ascii="Times New Roman" w:hAnsi="Times New Roman" w:eastAsia="Times New Roman" w:cs="Times New Roman"/>
          <w:sz w:val="20"/>
          <w:szCs w:val="20"/>
        </w:rPr>
        <w:t>GB</w:t>
      </w:r>
      <w:r>
        <w:rPr>
          <w:rFonts w:ascii="Times New Roman" w:hAnsi="Times New Roman" w:eastAsia="Times New Roman" w:cs="Times New Roman"/>
          <w:sz w:val="20"/>
          <w:szCs w:val="20"/>
          <w:spacing w:val="8"/>
        </w:rPr>
        <w:t xml:space="preserve"> 2763</w:t>
      </w:r>
      <w:r>
        <w:rPr>
          <w:rFonts w:ascii="SimSun" w:hAnsi="SimSun" w:eastAsia="SimSun" w:cs="SimSun"/>
          <w:sz w:val="20"/>
          <w:szCs w:val="20"/>
          <w:spacing w:val="8"/>
        </w:rPr>
        <w:t>及农业农村部的相关规定。</w:t>
      </w:r>
    </w:p>
    <w:p>
      <w:pPr>
        <w:ind w:left="17"/>
        <w:spacing w:before="284" w:line="231" w:lineRule="auto"/>
        <w:outlineLvl w:val="1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3"/>
        </w:rPr>
        <w:t>4</w:t>
      </w:r>
      <w:r>
        <w:rPr>
          <w:rFonts w:ascii="SimHei" w:hAnsi="SimHei" w:eastAsia="SimHei" w:cs="SimHei"/>
          <w:sz w:val="20"/>
          <w:szCs w:val="20"/>
          <w:spacing w:val="10"/>
        </w:rPr>
        <w:t xml:space="preserve">  </w:t>
      </w:r>
      <w:r>
        <w:rPr>
          <w:rFonts w:ascii="SimHei" w:hAnsi="SimHei" w:eastAsia="SimHei" w:cs="SimHei"/>
          <w:sz w:val="20"/>
          <w:szCs w:val="20"/>
          <w:spacing w:val="3"/>
        </w:rPr>
        <w:t>其他</w:t>
      </w:r>
    </w:p>
    <w:p>
      <w:pPr>
        <w:pStyle w:val="BodyText"/>
        <w:spacing w:line="253" w:lineRule="auto"/>
        <w:rPr/>
      </w:pPr>
      <w:r/>
    </w:p>
    <w:p>
      <w:pPr>
        <w:ind w:left="26" w:right="15" w:firstLine="418"/>
        <w:spacing w:before="66" w:line="296" w:lineRule="auto"/>
        <w:rPr>
          <w:rFonts w:ascii="SimSun" w:hAnsi="SimSun" w:eastAsia="SimSun" w:cs="SimSun"/>
          <w:sz w:val="20"/>
          <w:szCs w:val="20"/>
        </w:rPr>
      </w:pP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1909317</wp:posOffset>
            </wp:positionH>
            <wp:positionV relativeFrom="paragraph">
              <wp:posOffset>1407149</wp:posOffset>
            </wp:positionV>
            <wp:extent cx="1889759" cy="9525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9759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0"/>
          <w:szCs w:val="20"/>
          <w:spacing w:val="9"/>
        </w:rPr>
        <w:t>按照传统方式适量食用，孕妇、哺乳期妇女及婴幼儿等特殊人群不推荐食用。传统方式通常指用于煲</w:t>
      </w:r>
      <w:r>
        <w:rPr>
          <w:rFonts w:ascii="SimSun" w:hAnsi="SimSun" w:eastAsia="SimSun" w:cs="SimSun"/>
          <w:sz w:val="20"/>
          <w:szCs w:val="20"/>
          <w:spacing w:val="6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8"/>
        </w:rPr>
        <w:t>汤、泡茶、传统方式泡酒等。</w:t>
      </w:r>
    </w:p>
    <w:p>
      <w:pPr>
        <w:spacing w:line="296" w:lineRule="auto"/>
        <w:sectPr>
          <w:headerReference w:type="default" r:id="rId31"/>
          <w:footerReference w:type="default" r:id="rId32"/>
          <w:pgSz w:w="11905" w:h="16839"/>
          <w:pgMar w:top="1762" w:right="837" w:bottom="1067" w:left="1403" w:header="1440" w:footer="835" w:gutter="0"/>
        </w:sectPr>
        <w:rPr>
          <w:rFonts w:ascii="SimSun" w:hAnsi="SimSun" w:eastAsia="SimSun" w:cs="SimSun"/>
          <w:sz w:val="20"/>
          <w:szCs w:val="20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928" w:right="989" w:firstLine="108"/>
        <w:spacing w:before="140" w:line="401" w:lineRule="auto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b/>
          <w:bCs/>
          <w:spacing w:val="-14"/>
        </w:rPr>
        <w:t>浙江省食品安全地方标准《灵芝》</w:t>
      </w:r>
      <w:r>
        <w:rPr>
          <w:rFonts w:ascii="SimSun" w:hAnsi="SimSun" w:eastAsia="SimSun" w:cs="SimSun"/>
          <w:sz w:val="43"/>
          <w:szCs w:val="43"/>
        </w:rPr>
        <w:t xml:space="preserve"> </w:t>
      </w:r>
      <w:r>
        <w:rPr>
          <w:rFonts w:ascii="SimSun" w:hAnsi="SimSun" w:eastAsia="SimSun" w:cs="SimSun"/>
          <w:sz w:val="43"/>
          <w:szCs w:val="43"/>
          <w:b/>
          <w:bCs/>
          <w:spacing w:val="25"/>
        </w:rPr>
        <w:t>（</w:t>
      </w:r>
      <w:r>
        <w:rPr>
          <w:rFonts w:ascii="SimSun" w:hAnsi="SimSun" w:eastAsia="SimSun" w:cs="SimSun"/>
          <w:sz w:val="43"/>
          <w:szCs w:val="43"/>
          <w:b/>
          <w:bCs/>
        </w:rPr>
        <w:t>DBS</w:t>
      </w:r>
      <w:r>
        <w:rPr>
          <w:rFonts w:ascii="SimSun" w:hAnsi="SimSun" w:eastAsia="SimSun" w:cs="SimSun"/>
          <w:sz w:val="43"/>
          <w:szCs w:val="43"/>
          <w:b/>
          <w:bCs/>
          <w:spacing w:val="25"/>
        </w:rPr>
        <w:t>33/</w:t>
      </w:r>
      <w:r>
        <w:rPr>
          <w:rFonts w:ascii="SimSun" w:hAnsi="SimSun" w:eastAsia="SimSun" w:cs="SimSun"/>
          <w:sz w:val="43"/>
          <w:szCs w:val="43"/>
          <w:b/>
          <w:bCs/>
        </w:rPr>
        <w:t>XXXX</w:t>
      </w:r>
      <w:r>
        <w:rPr>
          <w:rFonts w:ascii="SimSun" w:hAnsi="SimSun" w:eastAsia="SimSun" w:cs="SimSun"/>
          <w:sz w:val="43"/>
          <w:szCs w:val="43"/>
          <w:b/>
          <w:bCs/>
          <w:spacing w:val="25"/>
        </w:rPr>
        <w:t>—202X）编制说明</w:t>
      </w:r>
    </w:p>
    <w:p>
      <w:pPr>
        <w:ind w:left="29"/>
        <w:spacing w:before="165" w:line="222" w:lineRule="auto"/>
        <w:outlineLvl w:val="0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3"/>
        </w:rPr>
        <w:t>一、工作简况</w:t>
      </w:r>
    </w:p>
    <w:p>
      <w:pPr>
        <w:pStyle w:val="BodyText"/>
        <w:spacing w:line="285" w:lineRule="auto"/>
        <w:rPr/>
      </w:pPr>
      <w:r/>
    </w:p>
    <w:p>
      <w:pPr>
        <w:ind w:left="44"/>
        <w:spacing w:before="91" w:line="225" w:lineRule="auto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-5"/>
        </w:rPr>
        <w:t>（一）任务来源</w:t>
      </w:r>
    </w:p>
    <w:p>
      <w:pPr>
        <w:ind w:left="22" w:right="74" w:firstLine="558"/>
        <w:spacing w:before="220" w:line="36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根据《浙江省卫生健康委员会关于印发</w:t>
      </w:r>
      <w:r>
        <w:rPr>
          <w:rFonts w:ascii="FangSong_GB2312" w:hAnsi="FangSong_GB2312" w:eastAsia="FangSong_GB2312" w:cs="FangSong_GB2312"/>
          <w:sz w:val="28"/>
          <w:szCs w:val="28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2024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年度食品安全地方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标准项目计划的通知》（浙卫发函〔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2024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〕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239</w:t>
      </w:r>
      <w:r>
        <w:rPr>
          <w:rFonts w:ascii="Times New Roman" w:hAnsi="Times New Roman" w:eastAsia="Times New Roman" w:cs="Times New Roman"/>
          <w:sz w:val="28"/>
          <w:szCs w:val="28"/>
          <w:spacing w:val="3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号）要求，《浙江省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灵芝》列为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2024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年度浙江省食品安全地方标准制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定项目，项目委托浙江省中药材产业协会、浙江省疾病预防控制中心</w:t>
      </w:r>
      <w:r>
        <w:rPr>
          <w:rFonts w:ascii="FangSong_GB2312" w:hAnsi="FangSong_GB2312" w:eastAsia="FangSong_GB2312" w:cs="FangSong_GB2312"/>
          <w:sz w:val="28"/>
          <w:szCs w:val="28"/>
          <w:spacing w:val="1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组建标准起草组制定。</w:t>
      </w:r>
    </w:p>
    <w:p>
      <w:pPr>
        <w:ind w:left="44"/>
        <w:spacing w:before="1" w:line="228" w:lineRule="auto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-4"/>
        </w:rPr>
        <w:t>（二）制标必要性</w:t>
      </w:r>
    </w:p>
    <w:p>
      <w:pPr>
        <w:ind w:left="21" w:firstLine="574"/>
        <w:spacing w:before="209" w:line="363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灵芝是传统的食药兼用的大型真菌，有滋补强身、扶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正固本、延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年益寿之功效，食用历史悠久，中国中医药科学院通过对余姚市田螺</w:t>
      </w:r>
      <w:r>
        <w:rPr>
          <w:rFonts w:ascii="FangSong_GB2312" w:hAnsi="FangSong_GB2312" w:eastAsia="FangSong_GB2312" w:cs="FangSong_GB2312"/>
          <w:sz w:val="28"/>
          <w:szCs w:val="28"/>
          <w:spacing w:val="1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山遗址出土的史前灵芝样本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“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本草考古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”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，发现浙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江先民使用灵芝养生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保健距今有</w:t>
      </w:r>
      <w:r>
        <w:rPr>
          <w:rFonts w:ascii="FangSong_GB2312" w:hAnsi="FangSong_GB2312" w:eastAsia="FangSong_GB2312" w:cs="FangSong_GB2312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6800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年历史。浙江灵芝商品性生产始于</w:t>
      </w:r>
      <w:r>
        <w:rPr>
          <w:rFonts w:ascii="FangSong_GB2312" w:hAnsi="FangSong_GB2312" w:eastAsia="FangSong_GB2312" w:cs="FangSong_GB2312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20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世纪</w:t>
      </w:r>
      <w:r>
        <w:rPr>
          <w:rFonts w:ascii="FangSong_GB2312" w:hAnsi="FangSong_GB2312" w:eastAsia="FangSong_GB2312" w:cs="FangSong_GB2312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70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年代，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以赤芝段木栽培为主，品质好。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2019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年我省灵芝栽培面积已达</w:t>
      </w:r>
      <w:r>
        <w:rPr>
          <w:rFonts w:ascii="FangSong_GB2312" w:hAnsi="FangSong_GB2312" w:eastAsia="FangSong_GB2312" w:cs="FangSong_GB2312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0.3</w:t>
      </w:r>
      <w:r>
        <w:rPr>
          <w:rFonts w:ascii="Times New Roman" w:hAnsi="Times New Roman" w:eastAsia="Times New Roman" w:cs="Times New Roman"/>
          <w:sz w:val="28"/>
          <w:szCs w:val="28"/>
          <w:spacing w:val="2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万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亩，产业产值</w:t>
      </w:r>
      <w:r>
        <w:rPr>
          <w:rFonts w:ascii="FangSong_GB2312" w:hAnsi="FangSong_GB2312" w:eastAsia="FangSong_GB2312" w:cs="FangSong_GB2312"/>
          <w:sz w:val="28"/>
          <w:szCs w:val="28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15</w:t>
      </w:r>
      <w:r>
        <w:rPr>
          <w:rFonts w:ascii="Times New Roman" w:hAnsi="Times New Roman" w:eastAsia="Times New Roman" w:cs="Times New Roman"/>
          <w:sz w:val="28"/>
          <w:szCs w:val="28"/>
          <w:spacing w:val="19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亿元，产业规模占全国三成以上，主产于龙泉、庆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云、武义、磐安、常山、安吉等地，龙泉是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“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中国灵芝核心产区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”</w:t>
      </w:r>
      <w:r>
        <w:rPr>
          <w:rFonts w:ascii="Times New Roman" w:hAnsi="Times New Roman" w:eastAsia="Times New Roman" w:cs="Times New Roman"/>
          <w:sz w:val="28"/>
          <w:szCs w:val="28"/>
          <w:spacing w:val="-1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，目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前我省已形成了科研、种植、生产、加工、销售等产业链，产业特色</w:t>
      </w:r>
      <w:r>
        <w:rPr>
          <w:rFonts w:ascii="FangSong_GB2312" w:hAnsi="FangSong_GB2312" w:eastAsia="FangSong_GB2312" w:cs="FangSong_GB2312"/>
          <w:sz w:val="28"/>
          <w:szCs w:val="28"/>
          <w:spacing w:val="1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和市场优势明显，已成为全国灵芝产品的主产区、主销区，对全国灵</w:t>
      </w:r>
      <w:r>
        <w:rPr>
          <w:rFonts w:ascii="FangSong_GB2312" w:hAnsi="FangSong_GB2312" w:eastAsia="FangSong_GB2312" w:cs="FangSong_GB2312"/>
          <w:sz w:val="28"/>
          <w:szCs w:val="28"/>
          <w:spacing w:val="1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芝产业发展起到引领作用，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2018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年灵芝被列为新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“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浙八味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”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培育品种。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灵芝营养价值十分丰富，主要包括多糖、寡糖、三萜类物质、多种甾</w:t>
      </w:r>
      <w:r>
        <w:rPr>
          <w:rFonts w:ascii="FangSong_GB2312" w:hAnsi="FangSong_GB2312" w:eastAsia="FangSong_GB2312" w:cs="FangSong_GB2312"/>
          <w:sz w:val="28"/>
          <w:szCs w:val="28"/>
          <w:spacing w:val="1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醇、膳食纤维、蛋白质、多肽、微量元素（有机锗）、酚类物质、维</w:t>
      </w:r>
      <w:r>
        <w:rPr>
          <w:rFonts w:ascii="FangSong_GB2312" w:hAnsi="FangSong_GB2312" w:eastAsia="FangSong_GB2312" w:cs="FangSong_GB2312"/>
          <w:sz w:val="28"/>
          <w:szCs w:val="28"/>
          <w:spacing w:val="1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生素以及灵芝的子实体、菌丝和孢子中含有大约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400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种不同的生物酸</w:t>
      </w:r>
    </w:p>
    <w:p>
      <w:pPr>
        <w:spacing w:line="363" w:lineRule="auto"/>
        <w:sectPr>
          <w:headerReference w:type="default" r:id="rId1"/>
          <w:footerReference w:type="default" r:id="rId34"/>
          <w:pgSz w:w="11906" w:h="16839"/>
          <w:pgMar w:top="400" w:right="1724" w:bottom="1362" w:left="1785" w:header="0" w:footer="1200" w:gutter="0"/>
        </w:sectPr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33" w:right="6" w:firstLine="4"/>
        <w:spacing w:before="91" w:line="36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等，营养价值高。浙江省灵芝作为食品原料的主要方法为煲汤、泡</w:t>
      </w:r>
      <w:r>
        <w:rPr>
          <w:rFonts w:ascii="FangSong_GB2312" w:hAnsi="FangSong_GB2312" w:eastAsia="FangSong_GB2312" w:cs="FangSong_GB2312"/>
          <w:sz w:val="28"/>
          <w:szCs w:val="28"/>
          <w:spacing w:val="-11"/>
        </w:rPr>
        <w:t>茶、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泡酒等传统方式，民间有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“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吃药一箩筐，不如灵芝一碗汤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”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的美誉，按</w:t>
      </w:r>
      <w:r>
        <w:rPr>
          <w:rFonts w:ascii="FangSong_GB2312" w:hAnsi="FangSong_GB2312" w:eastAsia="FangSong_GB2312" w:cs="FangSong_GB2312"/>
          <w:sz w:val="28"/>
          <w:szCs w:val="28"/>
          <w:spacing w:val="1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照传统习惯长期正常使用，未见不良反应报道，并有明显提高免疫力</w:t>
      </w:r>
      <w:r>
        <w:rPr>
          <w:rFonts w:ascii="FangSong_GB2312" w:hAnsi="FangSong_GB2312" w:eastAsia="FangSong_GB2312" w:cs="FangSong_GB2312"/>
          <w:sz w:val="28"/>
          <w:szCs w:val="28"/>
          <w:spacing w:val="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的作用，在此次抗击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“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新冠肺炎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”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中也发挥了明显防治作用。</w:t>
      </w:r>
    </w:p>
    <w:p>
      <w:pPr>
        <w:ind w:left="14" w:right="93" w:firstLine="564"/>
        <w:spacing w:before="4" w:line="36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2019</w:t>
      </w:r>
      <w:r>
        <w:rPr>
          <w:rFonts w:ascii="Times New Roman" w:hAnsi="Times New Roman" w:eastAsia="Times New Roman" w:cs="Times New Roman"/>
          <w:sz w:val="28"/>
          <w:szCs w:val="28"/>
          <w:spacing w:val="23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年</w:t>
      </w:r>
      <w:r>
        <w:rPr>
          <w:rFonts w:ascii="FangSong_GB2312" w:hAnsi="FangSong_GB2312" w:eastAsia="FangSong_GB2312" w:cs="FangSong_GB2312"/>
          <w:sz w:val="28"/>
          <w:szCs w:val="28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11</w:t>
      </w:r>
      <w:r>
        <w:rPr>
          <w:rFonts w:ascii="Times New Roman" w:hAnsi="Times New Roman" w:eastAsia="Times New Roman" w:cs="Times New Roman"/>
          <w:sz w:val="28"/>
          <w:szCs w:val="28"/>
          <w:spacing w:val="28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月</w:t>
      </w:r>
      <w:r>
        <w:rPr>
          <w:rFonts w:ascii="FangSong_GB2312" w:hAnsi="FangSong_GB2312" w:eastAsia="FangSong_GB2312" w:cs="FangSong_GB2312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25</w:t>
      </w:r>
      <w:r>
        <w:rPr>
          <w:rFonts w:ascii="Times New Roman" w:hAnsi="Times New Roman" w:eastAsia="Times New Roman" w:cs="Times New Roman"/>
          <w:sz w:val="28"/>
          <w:szCs w:val="28"/>
          <w:spacing w:val="6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日，国家卫健委发布了《关于对党参等</w:t>
      </w:r>
      <w:r>
        <w:rPr>
          <w:rFonts w:ascii="FangSong_GB2312" w:hAnsi="FangSong_GB2312" w:eastAsia="FangSong_GB2312" w:cs="FangSong_GB2312"/>
          <w:sz w:val="28"/>
          <w:szCs w:val="28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9</w:t>
      </w:r>
      <w:r>
        <w:rPr>
          <w:rFonts w:ascii="Times New Roman" w:hAnsi="Times New Roman" w:eastAsia="Times New Roman" w:cs="Times New Roman"/>
          <w:sz w:val="28"/>
          <w:szCs w:val="28"/>
          <w:spacing w:val="2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种物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6"/>
        </w:rPr>
        <w:t>质开展按照传统既是食品又是中药材的物质管理试点工作的通知》</w:t>
      </w:r>
      <w:r>
        <w:rPr>
          <w:rFonts w:ascii="FangSong_GB2312" w:hAnsi="FangSong_GB2312" w:eastAsia="FangSong_GB2312" w:cs="FangSong_GB2312"/>
          <w:sz w:val="28"/>
          <w:szCs w:val="28"/>
          <w:spacing w:val="1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（国卫食品函〔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2019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〕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311</w:t>
      </w:r>
      <w:r>
        <w:rPr>
          <w:rFonts w:ascii="Times New Roman" w:hAnsi="Times New Roman" w:eastAsia="Times New Roman" w:cs="Times New Roman"/>
          <w:sz w:val="28"/>
          <w:szCs w:val="28"/>
          <w:spacing w:val="2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号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），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包括了灵芝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子实体（包括赤芝和紫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芝）。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2023</w:t>
      </w:r>
      <w:r>
        <w:rPr>
          <w:rFonts w:ascii="Times New Roman" w:hAnsi="Times New Roman" w:eastAsia="Times New Roman" w:cs="Times New Roman"/>
          <w:sz w:val="28"/>
          <w:szCs w:val="28"/>
          <w:spacing w:val="1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年</w:t>
      </w:r>
      <w:r>
        <w:rPr>
          <w:rFonts w:ascii="FangSong_GB2312" w:hAnsi="FangSong_GB2312" w:eastAsia="FangSong_GB2312" w:cs="FangSong_GB2312"/>
          <w:sz w:val="28"/>
          <w:szCs w:val="28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11</w:t>
      </w:r>
      <w:r>
        <w:rPr>
          <w:rFonts w:ascii="Times New Roman" w:hAnsi="Times New Roman" w:eastAsia="Times New Roman" w:cs="Times New Roman"/>
          <w:sz w:val="28"/>
          <w:szCs w:val="28"/>
          <w:spacing w:val="2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月</w:t>
      </w:r>
      <w:r>
        <w:rPr>
          <w:rFonts w:ascii="FangSong_GB2312" w:hAnsi="FangSong_GB2312" w:eastAsia="FangSong_GB2312" w:cs="FangSong_GB2312"/>
          <w:sz w:val="28"/>
          <w:szCs w:val="28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17</w:t>
      </w:r>
      <w:r>
        <w:rPr>
          <w:rFonts w:ascii="Times New Roman" w:hAnsi="Times New Roman" w:eastAsia="Times New Roman" w:cs="Times New Roman"/>
          <w:sz w:val="28"/>
          <w:szCs w:val="28"/>
          <w:spacing w:val="6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日，国家卫生健康委、国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家市场监督管理总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局发布了《关于党参等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9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种新增按照传统既是食品又是中药材的物质</w:t>
      </w:r>
      <w:r>
        <w:rPr>
          <w:rFonts w:ascii="FangSong_GB2312" w:hAnsi="FangSong_GB2312" w:eastAsia="FangSong_GB2312" w:cs="FangSong_GB2312"/>
          <w:sz w:val="28"/>
          <w:szCs w:val="28"/>
          <w:spacing w:val="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公告》（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2023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年第</w:t>
      </w:r>
      <w:r>
        <w:rPr>
          <w:rFonts w:ascii="FangSong_GB2312" w:hAnsi="FangSong_GB2312" w:eastAsia="FangSong_GB2312" w:cs="FangSong_GB2312"/>
          <w:sz w:val="28"/>
          <w:szCs w:val="28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9</w:t>
      </w:r>
      <w:r>
        <w:rPr>
          <w:rFonts w:ascii="Times New Roman" w:hAnsi="Times New Roman" w:eastAsia="Times New Roman" w:cs="Times New Roman"/>
          <w:sz w:val="28"/>
          <w:szCs w:val="28"/>
          <w:spacing w:val="26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号</w:t>
      </w:r>
      <w:r>
        <w:rPr>
          <w:rFonts w:ascii="FangSong_GB2312" w:hAnsi="FangSong_GB2312" w:eastAsia="FangSong_GB2312" w:cs="FangSong_GB2312"/>
          <w:sz w:val="28"/>
          <w:szCs w:val="28"/>
          <w:spacing w:val="21"/>
        </w:rPr>
        <w:t>），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灵芝子实体（包括赤芝和紫芝）位列其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中。由于目前缺乏统一的灵芝食品安全地方标准，灵芝全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产业链发展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受到严重制约，是全行业强烈呼吁要解决的卡脖子标准，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省领导也多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次指示要求要加快推进省食品安全地方标准的研制工作。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研制灵芝食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品安全地方标准，可确保灵芝农药残留、重金属及微生物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等方面符合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普通食品的要求，同时可以更加规范生产、加工和食用等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各环节，更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大规模地满足广大公众的日常养生保健需求，有力推动浙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江灵芝全产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业链的做大做强，浙江灵芝可以像吉林人参产业一样，产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业规模完全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可以做到百亿规模，以营养与健康为目标的大食品产业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将成为健康中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国的主要内涵和支撑。灵芝必将为健康浙江建设和农民致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富发挥积极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的作用。</w:t>
      </w:r>
    </w:p>
    <w:p>
      <w:pPr>
        <w:ind w:left="44"/>
        <w:spacing w:line="225" w:lineRule="auto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-7"/>
        </w:rPr>
        <w:t>（三）项</w:t>
      </w:r>
      <w:r>
        <w:rPr>
          <w:rFonts w:ascii="KaiTi" w:hAnsi="KaiTi" w:eastAsia="KaiTi" w:cs="KaiTi"/>
          <w:sz w:val="28"/>
          <w:szCs w:val="28"/>
          <w:spacing w:val="-55"/>
        </w:rPr>
        <w:t xml:space="preserve"> </w:t>
      </w:r>
      <w:r>
        <w:rPr>
          <w:rFonts w:ascii="KaiTi" w:hAnsi="KaiTi" w:eastAsia="KaiTi" w:cs="KaiTi"/>
          <w:sz w:val="28"/>
          <w:szCs w:val="28"/>
          <w:spacing w:val="-7"/>
        </w:rPr>
        <w:t>目负责单位及主要起草过程</w:t>
      </w:r>
    </w:p>
    <w:p>
      <w:pPr>
        <w:ind w:left="22" w:firstLine="578"/>
        <w:spacing w:before="223" w:line="368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浙江省中药材产业协会、浙江省疾病预防控制中心承担《灵芝》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标准制定项目。浙江中医药大学、浙江寿仙谷医药股份有限公司、作</w:t>
      </w:r>
      <w:r>
        <w:rPr>
          <w:rFonts w:ascii="FangSong_GB2312" w:hAnsi="FangSong_GB2312" w:eastAsia="FangSong_GB2312" w:cs="FangSong_GB2312"/>
          <w:sz w:val="28"/>
          <w:szCs w:val="28"/>
          <w:spacing w:val="1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为协作单位参与标准的制定。标准主要起草人为：。</w:t>
      </w:r>
    </w:p>
    <w:p>
      <w:pPr>
        <w:spacing w:line="368" w:lineRule="auto"/>
        <w:sectPr>
          <w:footerReference w:type="default" r:id="rId35"/>
          <w:pgSz w:w="11906" w:h="16839"/>
          <w:pgMar w:top="400" w:right="1706" w:bottom="1362" w:left="1785" w:header="0" w:footer="1200" w:gutter="0"/>
        </w:sectPr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ind w:left="22" w:firstLine="559"/>
        <w:spacing w:before="91" w:line="36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标准草案编制工作总历时</w:t>
      </w:r>
      <w:r>
        <w:rPr>
          <w:rFonts w:ascii="FangSong_GB2312" w:hAnsi="FangSong_GB2312" w:eastAsia="FangSong_GB2312" w:cs="FangSong_GB2312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13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个月。主要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工作过程包括以下</w:t>
      </w:r>
      <w:r>
        <w:rPr>
          <w:rFonts w:ascii="FangSong_GB2312" w:hAnsi="FangSong_GB2312" w:eastAsia="FangSong_GB2312" w:cs="FangSong_GB2312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10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个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阶段：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1.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产业发展及技术标准现状分析；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2.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标准草案框架确定；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3.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实</w:t>
      </w:r>
      <w:r>
        <w:rPr>
          <w:rFonts w:ascii="FangSong_GB2312" w:hAnsi="FangSong_GB2312" w:eastAsia="FangSong_GB2312" w:cs="FangSong_GB2312"/>
          <w:sz w:val="28"/>
          <w:szCs w:val="28"/>
          <w:spacing w:val="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地调研灵芝生产过程；</w:t>
      </w:r>
      <w:r>
        <w:rPr>
          <w:rFonts w:ascii="Times New Roman" w:hAnsi="Times New Roman" w:eastAsia="Times New Roman" w:cs="Times New Roman"/>
          <w:sz w:val="28"/>
          <w:szCs w:val="28"/>
        </w:rPr>
        <w:t>4.</w:t>
      </w:r>
      <w:r>
        <w:rPr>
          <w:rFonts w:ascii="Times New Roman" w:hAnsi="Times New Roman" w:eastAsia="Times New Roman" w:cs="Times New Roman"/>
          <w:sz w:val="28"/>
          <w:szCs w:val="28"/>
          <w:spacing w:val="-3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收集整理企业前期检测数据；</w:t>
      </w:r>
      <w:r>
        <w:rPr>
          <w:rFonts w:ascii="Times New Roman" w:hAnsi="Times New Roman" w:eastAsia="Times New Roman" w:cs="Times New Roman"/>
          <w:sz w:val="28"/>
          <w:szCs w:val="28"/>
        </w:rPr>
        <w:t>5.</w:t>
      </w:r>
      <w:r>
        <w:rPr>
          <w:rFonts w:ascii="FangSong_GB2312" w:hAnsi="FangSong_GB2312" w:eastAsia="FangSong_GB2312" w:cs="FangSong_GB2312"/>
          <w:sz w:val="28"/>
          <w:szCs w:val="28"/>
        </w:rPr>
        <w:t>采集样品实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验室检测；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6.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标准草案编制及研讨；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7.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行业公开征求意见；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8.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形成标</w:t>
      </w:r>
      <w:r>
        <w:rPr>
          <w:rFonts w:ascii="FangSong_GB2312" w:hAnsi="FangSong_GB2312" w:eastAsia="FangSong_GB2312" w:cs="FangSong_GB2312"/>
          <w:sz w:val="28"/>
          <w:szCs w:val="28"/>
          <w:spacing w:val="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9"/>
        </w:rPr>
        <w:t>准征求意见稿；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9.</w:t>
      </w:r>
      <w:r>
        <w:rPr>
          <w:rFonts w:ascii="FangSong_GB2312" w:hAnsi="FangSong_GB2312" w:eastAsia="FangSong_GB2312" w:cs="FangSong_GB2312"/>
          <w:sz w:val="28"/>
          <w:szCs w:val="28"/>
          <w:spacing w:val="-9"/>
        </w:rPr>
        <w:t>卫生健康委网上公开征求意见；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10.</w:t>
      </w:r>
      <w:r>
        <w:rPr>
          <w:rFonts w:ascii="FangSong_GB2312" w:hAnsi="FangSong_GB2312" w:eastAsia="FangSong_GB2312" w:cs="FangSong_GB2312"/>
          <w:sz w:val="28"/>
          <w:szCs w:val="28"/>
          <w:spacing w:val="-9"/>
        </w:rPr>
        <w:t>形成标准送审稿。</w:t>
      </w:r>
    </w:p>
    <w:p>
      <w:pPr>
        <w:ind w:left="581"/>
        <w:spacing w:before="3" w:line="21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标准制定过程中主要工作：</w:t>
      </w:r>
    </w:p>
    <w:p>
      <w:pPr>
        <w:ind w:left="27" w:right="40" w:firstLine="551"/>
        <w:spacing w:before="238" w:line="36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2024 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年</w:t>
      </w:r>
      <w:r>
        <w:rPr>
          <w:rFonts w:ascii="FangSong_GB2312" w:hAnsi="FangSong_GB2312" w:eastAsia="FangSong_GB2312" w:cs="FangSong_GB2312"/>
          <w:sz w:val="28"/>
          <w:szCs w:val="28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spacing w:val="3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月，项目获得省卫生健康委员会立项，签订委托协议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书。在正式启动标准起草工作初期，项目组就前期《关于做好铁皮石</w:t>
      </w:r>
      <w:r>
        <w:rPr>
          <w:rFonts w:ascii="FangSong_GB2312" w:hAnsi="FangSong_GB2312" w:eastAsia="FangSong_GB2312" w:cs="FangSong_GB2312"/>
          <w:sz w:val="28"/>
          <w:szCs w:val="28"/>
          <w:spacing w:val="1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斛、灵芝、山茱萸等按照传统既是食品又是中药材的物质管理试点产</w:t>
      </w:r>
      <w:r>
        <w:rPr>
          <w:rFonts w:ascii="FangSong_GB2312" w:hAnsi="FangSong_GB2312" w:eastAsia="FangSong_GB2312" w:cs="FangSong_GB2312"/>
          <w:sz w:val="28"/>
          <w:szCs w:val="28"/>
          <w:spacing w:val="1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品申报与许可工作的通知》中《试点物质原料质量安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全指标要求》，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浙江省疾病预防控制中心作为技术机构，具体负责各项风险监测和风</w:t>
      </w:r>
      <w:r>
        <w:rPr>
          <w:rFonts w:ascii="FangSong_GB2312" w:hAnsi="FangSong_GB2312" w:eastAsia="FangSong_GB2312" w:cs="FangSong_GB2312"/>
          <w:sz w:val="28"/>
          <w:szCs w:val="28"/>
          <w:spacing w:val="1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险评估工作，对收集和检测的灵芝食品安全标准相关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数据进行整理、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分析。</w:t>
      </w:r>
    </w:p>
    <w:p>
      <w:pPr>
        <w:ind w:left="22" w:right="6" w:firstLine="556"/>
        <w:spacing w:before="6" w:line="368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2024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年</w:t>
      </w:r>
      <w:r>
        <w:rPr>
          <w:rFonts w:ascii="FangSong_GB2312" w:hAnsi="FangSong_GB2312" w:eastAsia="FangSong_GB2312" w:cs="FangSong_GB2312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12</w:t>
      </w:r>
      <w:r>
        <w:rPr>
          <w:rFonts w:ascii="Times New Roman" w:hAnsi="Times New Roman" w:eastAsia="Times New Roman" w:cs="Times New Roman"/>
          <w:sz w:val="28"/>
          <w:szCs w:val="28"/>
          <w:spacing w:val="2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月，《灵芝》项目制定工作启动会在金华武义召开。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标准起草项目组成员、相关行业协会和企业代表等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20 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余人参与了此</w:t>
      </w:r>
      <w:r>
        <w:rPr>
          <w:rFonts w:ascii="FangSong_GB2312" w:hAnsi="FangSong_GB2312" w:eastAsia="FangSong_GB2312" w:cs="FangSong_GB2312"/>
          <w:sz w:val="28"/>
          <w:szCs w:val="28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次会议。会议讨论并明确了标准的适用范围、拟定了标准的主要框架，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并就标准制定的任务分工、前期数据收集汇总及标准起草的整体进度</w:t>
      </w:r>
      <w:r>
        <w:rPr>
          <w:rFonts w:ascii="FangSong_GB2312" w:hAnsi="FangSong_GB2312" w:eastAsia="FangSong_GB2312" w:cs="FangSong_GB2312"/>
          <w:sz w:val="28"/>
          <w:szCs w:val="28"/>
          <w:spacing w:val="1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进行了整体安排。</w:t>
      </w:r>
    </w:p>
    <w:p>
      <w:pPr>
        <w:ind w:left="28" w:right="81" w:firstLine="550"/>
        <w:spacing w:line="36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2025 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年</w:t>
      </w:r>
      <w:r>
        <w:rPr>
          <w:rFonts w:ascii="FangSong_GB2312" w:hAnsi="FangSong_GB2312" w:eastAsia="FangSong_GB2312" w:cs="FangSong_GB2312"/>
          <w:sz w:val="28"/>
          <w:szCs w:val="28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3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月，项目组开展起草组征求意见工作，由浙江省中药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材产业协会发文，对浙江省内中药材行业专家进行意见征求，未收集</w:t>
      </w:r>
      <w:r>
        <w:rPr>
          <w:rFonts w:ascii="FangSong_GB2312" w:hAnsi="FangSong_GB2312" w:eastAsia="FangSong_GB2312" w:cs="FangSong_GB2312"/>
          <w:sz w:val="28"/>
          <w:szCs w:val="28"/>
          <w:spacing w:val="1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到相关意见。</w:t>
      </w:r>
    </w:p>
    <w:p>
      <w:pPr>
        <w:ind w:left="33" w:right="81" w:firstLine="545"/>
        <w:spacing w:before="3" w:line="368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2"/>
        </w:rPr>
        <w:t>2025</w:t>
      </w:r>
      <w:r>
        <w:rPr>
          <w:rFonts w:ascii="Times New Roman" w:hAnsi="Times New Roman" w:eastAsia="Times New Roman" w:cs="Times New Roman"/>
          <w:sz w:val="28"/>
          <w:szCs w:val="28"/>
          <w:spacing w:val="2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2"/>
        </w:rPr>
        <w:t>年</w:t>
      </w:r>
      <w:r>
        <w:rPr>
          <w:rFonts w:ascii="FangSong_GB2312" w:hAnsi="FangSong_GB2312" w:eastAsia="FangSong_GB2312" w:cs="FangSong_GB2312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2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spacing w:val="2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2"/>
        </w:rPr>
        <w:t>月，专委会召开标准评审会，对《食品安全地方标准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-1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2"/>
        </w:rPr>
        <w:t>灵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芝》草案进行评审，形成意见</w:t>
      </w:r>
      <w:r>
        <w:rPr>
          <w:rFonts w:ascii="FangSong_GB2312" w:hAnsi="FangSong_GB2312" w:eastAsia="FangSong_GB2312" w:cs="FangSong_GB2312"/>
          <w:sz w:val="28"/>
          <w:szCs w:val="28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4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条。</w:t>
      </w:r>
    </w:p>
    <w:p>
      <w:pPr>
        <w:ind w:left="29"/>
        <w:spacing w:before="157" w:line="222" w:lineRule="auto"/>
        <w:outlineLvl w:val="0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1"/>
        </w:rPr>
        <w:t>二、与我国法律法规和其他标准的关系</w:t>
      </w:r>
    </w:p>
    <w:p>
      <w:pPr>
        <w:spacing w:line="222" w:lineRule="auto"/>
        <w:sectPr>
          <w:footerReference w:type="default" r:id="rId36"/>
          <w:pgSz w:w="11906" w:h="16839"/>
          <w:pgMar w:top="400" w:right="1717" w:bottom="1362" w:left="1785" w:header="0" w:footer="1200" w:gutter="0"/>
        </w:sectPr>
        <w:rPr>
          <w:rFonts w:ascii="SimHei" w:hAnsi="SimHei" w:eastAsia="SimHei" w:cs="SimHei"/>
          <w:sz w:val="28"/>
          <w:szCs w:val="28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584"/>
        <w:spacing w:before="91" w:line="21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本标准研制主要参考了如下我国现行的相关标准：</w:t>
      </w:r>
    </w:p>
    <w:p>
      <w:pPr>
        <w:ind w:left="44"/>
        <w:spacing w:before="232" w:line="224" w:lineRule="auto"/>
        <w:outlineLvl w:val="1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-3"/>
        </w:rPr>
        <w:t>（一）国际国外同类标准：</w:t>
      </w:r>
    </w:p>
    <w:p>
      <w:pPr>
        <w:ind w:left="573"/>
        <w:spacing w:before="221" w:line="212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</w:rPr>
        <w:t>《中医药</w:t>
      </w:r>
      <w:r>
        <w:rPr>
          <w:rFonts w:ascii="Times New Roman" w:hAnsi="Times New Roman" w:eastAsia="Times New Roman" w:cs="Times New Roman"/>
          <w:sz w:val="28"/>
          <w:szCs w:val="28"/>
        </w:rPr>
        <w:t>-</w:t>
      </w:r>
      <w:r>
        <w:rPr>
          <w:rFonts w:ascii="FangSong_GB2312" w:hAnsi="FangSong_GB2312" w:eastAsia="FangSong_GB2312" w:cs="FangSong_GB2312"/>
          <w:sz w:val="28"/>
          <w:szCs w:val="28"/>
        </w:rPr>
        <w:t>灵芝》（</w:t>
      </w:r>
      <w:r>
        <w:rPr>
          <w:rFonts w:ascii="Times New Roman" w:hAnsi="Times New Roman" w:eastAsia="Times New Roman" w:cs="Times New Roman"/>
          <w:sz w:val="28"/>
          <w:szCs w:val="28"/>
        </w:rPr>
        <w:t>ISO 21315:2018 (E)</w:t>
      </w:r>
      <w:r>
        <w:rPr>
          <w:rFonts w:ascii="FangSong_GB2312" w:hAnsi="FangSong_GB2312" w:eastAsia="FangSong_GB2312" w:cs="FangSong_GB2312"/>
          <w:sz w:val="28"/>
          <w:szCs w:val="28"/>
        </w:rPr>
        <w:t>）</w:t>
      </w:r>
    </w:p>
    <w:p>
      <w:pPr>
        <w:ind w:left="44"/>
        <w:spacing w:before="238" w:line="226" w:lineRule="auto"/>
        <w:outlineLvl w:val="1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-3"/>
        </w:rPr>
        <w:t>（二）国内相关标准：</w:t>
      </w:r>
    </w:p>
    <w:p>
      <w:pPr>
        <w:ind w:left="573"/>
        <w:spacing w:before="218" w:line="21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《中药材商品规格等级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灵芝》（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T/CACM</w:t>
      </w:r>
      <w:r>
        <w:rPr>
          <w:rFonts w:ascii="Times New Roman" w:hAnsi="Times New Roman" w:eastAsia="Times New Roman" w:cs="Times New Roman"/>
          <w:sz w:val="28"/>
          <w:szCs w:val="28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1021.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11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-2018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）</w:t>
      </w:r>
    </w:p>
    <w:p>
      <w:pPr>
        <w:ind w:left="573"/>
        <w:spacing w:before="234" w:line="218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《道地药材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赤芝》（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T/CACM</w:t>
      </w:r>
      <w:r>
        <w:rPr>
          <w:rFonts w:ascii="Times New Roman" w:hAnsi="Times New Roman" w:eastAsia="Times New Roman" w:cs="Times New Roman"/>
          <w:sz w:val="28"/>
          <w:szCs w:val="28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1020.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150-201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9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）</w:t>
      </w:r>
    </w:p>
    <w:p>
      <w:pPr>
        <w:ind w:left="573"/>
        <w:spacing w:before="232" w:line="216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《灵芝制品》（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T/SNHFA 001-2019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）</w:t>
      </w:r>
    </w:p>
    <w:p>
      <w:pPr>
        <w:ind w:left="44"/>
        <w:spacing w:before="230" w:line="227" w:lineRule="auto"/>
        <w:outlineLvl w:val="1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-3"/>
        </w:rPr>
        <w:t>（三）食品安全地方标准</w:t>
      </w:r>
    </w:p>
    <w:p>
      <w:pPr>
        <w:ind w:left="588"/>
        <w:spacing w:before="216" w:line="21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福建省《食品安全地方标准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灵芝》（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DBS35/ 008-2024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）</w:t>
      </w:r>
    </w:p>
    <w:p>
      <w:pPr>
        <w:ind w:left="619"/>
        <w:spacing w:before="236" w:line="216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山东省《食品安全地方标准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灵芝》（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DB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S37/ 003-2024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）</w:t>
      </w:r>
    </w:p>
    <w:p>
      <w:pPr>
        <w:ind w:left="590" w:hanging="7"/>
        <w:spacing w:before="233" w:line="369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广西壮族自治区《食品安全地方标准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灵芝》（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DBS 45/0</w:t>
      </w:r>
      <w:r>
        <w:rPr>
          <w:rFonts w:ascii="Times New Roman" w:hAnsi="Times New Roman" w:eastAsia="Times New Roman" w:cs="Times New Roman"/>
          <w:sz w:val="28"/>
          <w:szCs w:val="28"/>
          <w:spacing w:val="-11"/>
        </w:rPr>
        <w:t>72—2021</w:t>
      </w:r>
      <w:r>
        <w:rPr>
          <w:rFonts w:ascii="FangSong_GB2312" w:hAnsi="FangSong_GB2312" w:eastAsia="FangSong_GB2312" w:cs="FangSong_GB2312"/>
          <w:sz w:val="28"/>
          <w:szCs w:val="28"/>
          <w:spacing w:val="-11"/>
        </w:rPr>
        <w:t>）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重庆市《食品安全地方标准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灵芝及其制品》（</w:t>
      </w:r>
      <w:r>
        <w:rPr>
          <w:rFonts w:ascii="Times New Roman" w:hAnsi="Times New Roman" w:eastAsia="Times New Roman" w:cs="Times New Roman"/>
          <w:sz w:val="28"/>
          <w:szCs w:val="28"/>
          <w:spacing w:val="-11"/>
        </w:rPr>
        <w:t>DBS50/ 032—2023</w:t>
      </w:r>
      <w:r>
        <w:rPr>
          <w:rFonts w:ascii="FangSong_GB2312" w:hAnsi="FangSong_GB2312" w:eastAsia="FangSong_GB2312" w:cs="FangSong_GB2312"/>
          <w:sz w:val="28"/>
          <w:szCs w:val="28"/>
          <w:spacing w:val="-11"/>
        </w:rPr>
        <w:t>）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贵州省《食品安全地方标准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灵芝》（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DBS52/ 057—2022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）</w:t>
      </w:r>
    </w:p>
    <w:p>
      <w:pPr>
        <w:ind w:left="28" w:right="138" w:firstLine="566"/>
        <w:spacing w:before="1" w:line="369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云南省《食品安全地方标准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灵芝》（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DBS53/ 036-2023</w:t>
      </w:r>
      <w:r>
        <w:rPr>
          <w:rFonts w:ascii="FangSong_GB2312" w:hAnsi="FangSong_GB2312" w:eastAsia="FangSong_GB2312" w:cs="FangSong_GB2312"/>
          <w:sz w:val="28"/>
          <w:szCs w:val="28"/>
          <w:spacing w:val="20"/>
        </w:rPr>
        <w:t>）（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已废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止）</w:t>
      </w:r>
    </w:p>
    <w:p>
      <w:pPr>
        <w:ind w:left="44"/>
        <w:spacing w:before="1" w:line="225" w:lineRule="auto"/>
        <w:outlineLvl w:val="1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-6"/>
        </w:rPr>
        <w:t>（四）其他</w:t>
      </w:r>
    </w:p>
    <w:p>
      <w:pPr>
        <w:ind w:left="573"/>
        <w:spacing w:before="218" w:line="21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</w:rPr>
        <w:t>《中华人民共和国药典》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z w:val="28"/>
          <w:szCs w:val="28"/>
        </w:rPr>
        <w:t>2020 </w:t>
      </w:r>
      <w:r>
        <w:rPr>
          <w:rFonts w:ascii="FangSong_GB2312" w:hAnsi="FangSong_GB2312" w:eastAsia="FangSong_GB2312" w:cs="FangSong_GB2312"/>
          <w:sz w:val="28"/>
          <w:szCs w:val="28"/>
        </w:rPr>
        <w:t>年版）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一部。</w:t>
      </w:r>
    </w:p>
    <w:p>
      <w:pPr>
        <w:ind w:left="33" w:right="138" w:firstLine="540"/>
        <w:spacing w:before="233" w:line="370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5"/>
        </w:rPr>
        <w:t>《关于对党参等</w:t>
      </w:r>
      <w:r>
        <w:rPr>
          <w:rFonts w:ascii="FangSong_GB2312" w:hAnsi="FangSong_GB2312" w:eastAsia="FangSong_GB2312" w:cs="FangSong_GB2312"/>
          <w:sz w:val="28"/>
          <w:szCs w:val="28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5"/>
        </w:rPr>
        <w:t>9</w:t>
      </w:r>
      <w:r>
        <w:rPr>
          <w:rFonts w:ascii="Times New Roman" w:hAnsi="Times New Roman" w:eastAsia="Times New Roman" w:cs="Times New Roman"/>
          <w:sz w:val="28"/>
          <w:szCs w:val="28"/>
          <w:spacing w:val="21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5"/>
        </w:rPr>
        <w:t>种物质开展按照传统既是食品又是中药材的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物质管理试点工作的通知》（国卫食品函〔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2019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〕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311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号）。</w:t>
      </w:r>
    </w:p>
    <w:p>
      <w:pPr>
        <w:ind w:left="33" w:right="138" w:firstLine="540"/>
        <w:spacing w:before="1" w:line="369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5"/>
        </w:rPr>
        <w:t>《关于党参等</w:t>
      </w:r>
      <w:r>
        <w:rPr>
          <w:rFonts w:ascii="FangSong_GB2312" w:hAnsi="FangSong_GB2312" w:eastAsia="FangSong_GB2312" w:cs="FangSong_GB2312"/>
          <w:sz w:val="28"/>
          <w:szCs w:val="28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5"/>
        </w:rPr>
        <w:t>9</w:t>
      </w:r>
      <w:r>
        <w:rPr>
          <w:rFonts w:ascii="Times New Roman" w:hAnsi="Times New Roman" w:eastAsia="Times New Roman" w:cs="Times New Roman"/>
          <w:sz w:val="28"/>
          <w:szCs w:val="28"/>
          <w:spacing w:val="23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5"/>
        </w:rPr>
        <w:t>种新增按照传统既是食品又是中药材的物质公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告》（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2023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年第</w:t>
      </w:r>
      <w:r>
        <w:rPr>
          <w:rFonts w:ascii="FangSong_GB2312" w:hAnsi="FangSong_GB2312" w:eastAsia="FangSong_GB2312" w:cs="FangSong_GB2312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9</w:t>
      </w:r>
      <w:r>
        <w:rPr>
          <w:rFonts w:ascii="Times New Roman" w:hAnsi="Times New Roman" w:eastAsia="Times New Roman" w:cs="Times New Roman"/>
          <w:sz w:val="28"/>
          <w:szCs w:val="28"/>
          <w:spacing w:val="2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号）</w:t>
      </w:r>
    </w:p>
    <w:p>
      <w:pPr>
        <w:ind w:left="30"/>
        <w:spacing w:before="156" w:line="222" w:lineRule="auto"/>
        <w:outlineLvl w:val="0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2"/>
        </w:rPr>
        <w:t>三、标准的制定原则</w:t>
      </w:r>
    </w:p>
    <w:p>
      <w:pPr>
        <w:pStyle w:val="BodyText"/>
        <w:spacing w:line="286" w:lineRule="auto"/>
        <w:rPr/>
      </w:pPr>
      <w:r/>
    </w:p>
    <w:p>
      <w:pPr>
        <w:ind w:left="573"/>
        <w:spacing w:before="91" w:line="217" w:lineRule="auto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</w:rPr>
        <w:t>（一）以保护消费者健康为首要原则。</w:t>
      </w:r>
    </w:p>
    <w:p>
      <w:pPr>
        <w:ind w:left="573"/>
        <w:spacing w:before="231" w:line="216" w:lineRule="auto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</w:rPr>
        <w:t>（二）科学性原则。</w:t>
      </w:r>
    </w:p>
    <w:p>
      <w:pPr>
        <w:spacing w:line="216" w:lineRule="auto"/>
        <w:sectPr>
          <w:footerReference w:type="default" r:id="rId37"/>
          <w:pgSz w:w="11906" w:h="16839"/>
          <w:pgMar w:top="400" w:right="1660" w:bottom="1362" w:left="1785" w:header="0" w:footer="1200" w:gutter="0"/>
        </w:sectPr>
        <w:rPr>
          <w:rFonts w:ascii="KaiTi" w:hAnsi="KaiTi" w:eastAsia="KaiTi" w:cs="KaiTi"/>
          <w:sz w:val="28"/>
          <w:szCs w:val="28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573"/>
        <w:spacing w:before="91" w:line="215" w:lineRule="auto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-4"/>
        </w:rPr>
        <w:t>（</w:t>
      </w:r>
      <w:r>
        <w:rPr>
          <w:rFonts w:ascii="KaiTi" w:hAnsi="KaiTi" w:eastAsia="KaiTi" w:cs="KaiTi"/>
          <w:sz w:val="28"/>
          <w:szCs w:val="28"/>
          <w:spacing w:val="-68"/>
        </w:rPr>
        <w:t xml:space="preserve"> </w:t>
      </w:r>
      <w:r>
        <w:rPr>
          <w:rFonts w:ascii="KaiTi" w:hAnsi="KaiTi" w:eastAsia="KaiTi" w:cs="KaiTi"/>
          <w:sz w:val="28"/>
          <w:szCs w:val="28"/>
          <w:spacing w:val="-4"/>
        </w:rPr>
        <w:t>三）促进铁皮石斛产业健康发展原则。</w:t>
      </w:r>
    </w:p>
    <w:p>
      <w:pPr>
        <w:ind w:left="573"/>
        <w:spacing w:before="233" w:line="215" w:lineRule="auto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-8"/>
        </w:rPr>
        <w:t>（</w:t>
      </w:r>
      <w:r>
        <w:rPr>
          <w:rFonts w:ascii="KaiTi" w:hAnsi="KaiTi" w:eastAsia="KaiTi" w:cs="KaiTi"/>
          <w:sz w:val="28"/>
          <w:szCs w:val="28"/>
          <w:spacing w:val="-62"/>
        </w:rPr>
        <w:t xml:space="preserve"> </w:t>
      </w:r>
      <w:r>
        <w:rPr>
          <w:rFonts w:ascii="KaiTi" w:hAnsi="KaiTi" w:eastAsia="KaiTi" w:cs="KaiTi"/>
          <w:sz w:val="28"/>
          <w:szCs w:val="28"/>
          <w:spacing w:val="-8"/>
        </w:rPr>
        <w:t>四）可操作性原则。</w:t>
      </w:r>
    </w:p>
    <w:p>
      <w:pPr>
        <w:ind w:left="573"/>
        <w:spacing w:before="232" w:line="218" w:lineRule="auto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-1"/>
        </w:rPr>
        <w:t>（五）公开透明原则。</w:t>
      </w:r>
    </w:p>
    <w:p>
      <w:pPr>
        <w:pStyle w:val="BodyText"/>
        <w:spacing w:line="293" w:lineRule="auto"/>
        <w:rPr/>
      </w:pPr>
      <w:r/>
    </w:p>
    <w:p>
      <w:pPr>
        <w:ind w:left="41"/>
        <w:spacing w:before="91" w:line="222" w:lineRule="auto"/>
        <w:outlineLvl w:val="0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3"/>
        </w:rPr>
        <w:t>四、确定各项技术内容的依据</w:t>
      </w:r>
    </w:p>
    <w:p>
      <w:pPr>
        <w:pStyle w:val="BodyText"/>
        <w:spacing w:line="284" w:lineRule="auto"/>
        <w:rPr/>
      </w:pPr>
      <w:r/>
    </w:p>
    <w:p>
      <w:pPr>
        <w:ind w:left="46"/>
        <w:spacing w:before="91" w:line="229" w:lineRule="auto"/>
        <w:outlineLvl w:val="1"/>
        <w:rPr>
          <w:rFonts w:ascii="KaiTi" w:hAnsi="KaiTi" w:eastAsia="KaiTi" w:cs="KaiTi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1.</w:t>
      </w:r>
      <w:r>
        <w:rPr>
          <w:rFonts w:ascii="KaiTi" w:hAnsi="KaiTi" w:eastAsia="KaiTi" w:cs="KaiTi"/>
          <w:sz w:val="28"/>
          <w:szCs w:val="28"/>
          <w:spacing w:val="-6"/>
        </w:rPr>
        <w:t>适用范围</w:t>
      </w:r>
    </w:p>
    <w:p>
      <w:pPr>
        <w:ind w:left="584"/>
        <w:spacing w:before="214" w:line="215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本标准适用于人工栽培的赤芝或紫芝干燥子实体。</w:t>
      </w:r>
    </w:p>
    <w:p>
      <w:pPr>
        <w:ind w:left="22" w:right="13" w:firstLine="562"/>
        <w:spacing w:before="235" w:line="36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按照国家卫生健康委发布的《关于对党参等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9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种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物质开展按照传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统既是食品又是中药材的物质管理试点工作的通知》中的规定，将本</w:t>
      </w:r>
      <w:r>
        <w:rPr>
          <w:rFonts w:ascii="FangSong_GB2312" w:hAnsi="FangSong_GB2312" w:eastAsia="FangSong_GB2312" w:cs="FangSong_GB2312"/>
          <w:sz w:val="28"/>
          <w:szCs w:val="28"/>
          <w:spacing w:val="1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标准范围限定为：人工栽培的赤芝或紫芝干燥子实体。</w:t>
      </w:r>
    </w:p>
    <w:p>
      <w:pPr>
        <w:ind w:left="20"/>
        <w:spacing w:line="231" w:lineRule="auto"/>
        <w:outlineLvl w:val="1"/>
        <w:rPr>
          <w:rFonts w:ascii="KaiTi" w:hAnsi="KaiTi" w:eastAsia="KaiTi" w:cs="KaiTi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2.</w:t>
      </w:r>
      <w:r>
        <w:rPr>
          <w:rFonts w:ascii="KaiTi" w:hAnsi="KaiTi" w:eastAsia="KaiTi" w:cs="KaiTi"/>
          <w:sz w:val="28"/>
          <w:szCs w:val="28"/>
          <w:spacing w:val="-1"/>
        </w:rPr>
        <w:t>术语和定义</w:t>
      </w:r>
    </w:p>
    <w:p>
      <w:pPr>
        <w:ind w:left="20"/>
        <w:spacing w:before="211" w:line="216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2.1</w:t>
      </w:r>
      <w:r>
        <w:rPr>
          <w:rFonts w:ascii="Times New Roman" w:hAnsi="Times New Roman" w:eastAsia="Times New Roman" w:cs="Times New Roman"/>
          <w:sz w:val="28"/>
          <w:szCs w:val="28"/>
          <w:spacing w:val="24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灵芝</w:t>
      </w:r>
    </w:p>
    <w:p>
      <w:pPr>
        <w:ind w:left="18" w:right="13" w:firstLine="604"/>
        <w:spacing w:before="187" w:line="366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</w:rPr>
        <w:t>以人工栽培的多孔菌科真菌赤芝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i/>
          <w:iCs/>
        </w:rPr>
        <w:t>Ganoderma lucidum </w:t>
      </w:r>
      <w:r>
        <w:rPr>
          <w:rFonts w:ascii="Times New Roman" w:hAnsi="Times New Roman" w:eastAsia="Times New Roman" w:cs="Times New Roman"/>
          <w:sz w:val="28"/>
          <w:szCs w:val="28"/>
        </w:rPr>
        <w:t>(Leyss. ex</w:t>
      </w:r>
      <w:r>
        <w:rPr>
          <w:rFonts w:ascii="Times New Roman" w:hAnsi="Times New Roman" w:eastAsia="Times New Roman" w:cs="Times New Roman"/>
          <w:sz w:val="28"/>
          <w:szCs w:val="28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Fr.) Karst.</w:t>
      </w:r>
      <w:r>
        <w:rPr>
          <w:rFonts w:ascii="FangSong_GB2312" w:hAnsi="FangSong_GB2312" w:eastAsia="FangSong_GB2312" w:cs="FangSong_GB2312"/>
          <w:sz w:val="28"/>
          <w:szCs w:val="28"/>
        </w:rPr>
        <w:t>）或紫芝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i/>
          <w:iCs/>
        </w:rPr>
        <w:t>Ganoderma si</w:t>
      </w:r>
      <w:r>
        <w:rPr>
          <w:rFonts w:ascii="Times New Roman" w:hAnsi="Times New Roman" w:eastAsia="Times New Roman" w:cs="Times New Roman"/>
          <w:sz w:val="28"/>
          <w:szCs w:val="28"/>
          <w:i/>
          <w:iCs/>
          <w:spacing w:val="-1"/>
        </w:rPr>
        <w:t>nense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Zhao, Xu et Zhang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）鲜品为原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料，通过除杂、干燥等工序加工而成的干燥子实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体，供直接食用或作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食品加工原料。</w:t>
      </w:r>
    </w:p>
    <w:p>
      <w:pPr>
        <w:ind w:left="25"/>
        <w:spacing w:before="64" w:line="229" w:lineRule="auto"/>
        <w:outlineLvl w:val="1"/>
        <w:rPr>
          <w:rFonts w:ascii="KaiTi" w:hAnsi="KaiTi" w:eastAsia="KaiTi" w:cs="KaiTi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3.</w:t>
      </w:r>
      <w:r>
        <w:rPr>
          <w:rFonts w:ascii="KaiTi" w:hAnsi="KaiTi" w:eastAsia="KaiTi" w:cs="KaiTi"/>
          <w:sz w:val="28"/>
          <w:szCs w:val="28"/>
          <w:spacing w:val="-2"/>
        </w:rPr>
        <w:t>技术要求</w:t>
      </w:r>
    </w:p>
    <w:p>
      <w:pPr>
        <w:ind w:left="33" w:right="13" w:firstLine="556"/>
        <w:spacing w:before="213" w:line="370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对原料、感官要求、理化指标、污染物及农药残留限量等作出了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规定。</w:t>
      </w:r>
    </w:p>
    <w:p>
      <w:pPr>
        <w:ind w:left="584"/>
        <w:spacing w:before="155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3.1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原料要求</w:t>
      </w:r>
    </w:p>
    <w:p>
      <w:pPr>
        <w:ind w:right="16"/>
        <w:spacing w:before="234" w:line="214" w:lineRule="auto"/>
        <w:outlineLvl w:val="2"/>
        <w:jc w:val="right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3.1.1 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灵芝鲜品应新鲜、无虫蛀、无霉变、无腐烂，具有灵芝特</w:t>
      </w:r>
    </w:p>
    <w:p>
      <w:pPr>
        <w:ind w:left="30" w:right="13" w:firstLine="1"/>
        <w:spacing w:before="233" w:line="370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有的自然品质特征及相应的色泽和气味，栽培过程应符合国家相关标</w:t>
      </w:r>
      <w:r>
        <w:rPr>
          <w:rFonts w:ascii="FangSong_GB2312" w:hAnsi="FangSong_GB2312" w:eastAsia="FangSong_GB2312" w:cs="FangSong_GB2312"/>
          <w:sz w:val="28"/>
          <w:szCs w:val="28"/>
          <w:spacing w:val="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准的规定。</w:t>
      </w:r>
    </w:p>
    <w:p>
      <w:pPr>
        <w:ind w:left="584"/>
        <w:spacing w:before="1" w:line="216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3.1.2 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生产加工用水应符合</w:t>
      </w:r>
      <w:r>
        <w:rPr>
          <w:rFonts w:ascii="FangSong_GB2312" w:hAnsi="FangSong_GB2312" w:eastAsia="FangSong_GB2312" w:cs="FangSong_GB2312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GB 5749</w:t>
      </w:r>
      <w:r>
        <w:rPr>
          <w:rFonts w:ascii="Times New Roman" w:hAnsi="Times New Roman" w:eastAsia="Times New Roman" w:cs="Times New Roman"/>
          <w:sz w:val="28"/>
          <w:szCs w:val="28"/>
          <w:spacing w:val="3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的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规定。</w:t>
      </w:r>
    </w:p>
    <w:p>
      <w:pPr>
        <w:ind w:left="18"/>
        <w:spacing w:before="229" w:line="224" w:lineRule="auto"/>
        <w:outlineLvl w:val="1"/>
        <w:rPr>
          <w:rFonts w:ascii="KaiTi" w:hAnsi="KaiTi" w:eastAsia="KaiTi" w:cs="KaiTi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4.  </w:t>
      </w:r>
      <w:r>
        <w:rPr>
          <w:rFonts w:ascii="KaiTi" w:hAnsi="KaiTi" w:eastAsia="KaiTi" w:cs="KaiTi"/>
          <w:sz w:val="28"/>
          <w:szCs w:val="28"/>
          <w:spacing w:val="-1"/>
        </w:rPr>
        <w:t>感官要求</w:t>
      </w:r>
    </w:p>
    <w:p>
      <w:pPr>
        <w:spacing w:line="224" w:lineRule="auto"/>
        <w:sectPr>
          <w:footerReference w:type="default" r:id="rId38"/>
          <w:pgSz w:w="11906" w:h="16839"/>
          <w:pgMar w:top="400" w:right="1785" w:bottom="1360" w:left="1785" w:header="0" w:footer="1200" w:gutter="0"/>
        </w:sectPr>
        <w:rPr>
          <w:rFonts w:ascii="KaiTi" w:hAnsi="KaiTi" w:eastAsia="KaiTi" w:cs="KaiTi"/>
          <w:sz w:val="28"/>
          <w:szCs w:val="28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456"/>
        <w:spacing w:before="91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规定了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“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色泽”“滋味、气味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”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和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“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状态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”</w:t>
      </w:r>
      <w:r>
        <w:rPr>
          <w:rFonts w:ascii="Times New Roman" w:hAnsi="Times New Roman" w:eastAsia="Times New Roman" w:cs="Times New Roman"/>
          <w:sz w:val="28"/>
          <w:szCs w:val="28"/>
          <w:spacing w:val="-3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，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即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“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赤芝皮壳黄褐色至红</w:t>
      </w:r>
    </w:p>
    <w:p>
      <w:pPr>
        <w:ind w:left="25" w:right="532" w:firstLine="4"/>
        <w:spacing w:before="232" w:line="369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褐色，有光泽；菌肉白色至淡棕色；气微香，味苦涩；外形呈伞状，</w:t>
      </w:r>
      <w:r>
        <w:rPr>
          <w:rFonts w:ascii="FangSong_GB2312" w:hAnsi="FangSong_GB2312" w:eastAsia="FangSong_GB2312" w:cs="FangSong_GB2312"/>
          <w:sz w:val="28"/>
          <w:szCs w:val="28"/>
          <w:spacing w:val="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菌盖肾形、半圆形或近圆形；菌盖有显著环纹，无正常视力可见的外</w:t>
      </w:r>
      <w:r>
        <w:rPr>
          <w:rFonts w:ascii="FangSong_GB2312" w:hAnsi="FangSong_GB2312" w:eastAsia="FangSong_GB2312" w:cs="FangSong_GB2312"/>
          <w:sz w:val="28"/>
          <w:szCs w:val="28"/>
          <w:spacing w:val="1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来杂质。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”</w:t>
      </w:r>
      <w:r>
        <w:rPr>
          <w:rFonts w:ascii="Times New Roman" w:hAnsi="Times New Roman" w:eastAsia="Times New Roman" w:cs="Times New Roman"/>
          <w:sz w:val="28"/>
          <w:szCs w:val="28"/>
          <w:spacing w:val="-4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，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“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紫芝皮壳紫黑色，有漆样光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泽；菌肉锈褐色；气微香，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味淡；形呈伞状，菌盖呈扇形、肾形、半圆形或近圆形；菌盖有显著</w:t>
      </w:r>
      <w:r>
        <w:rPr>
          <w:rFonts w:ascii="FangSong_GB2312" w:hAnsi="FangSong_GB2312" w:eastAsia="FangSong_GB2312" w:cs="FangSong_GB2312"/>
          <w:sz w:val="28"/>
          <w:szCs w:val="28"/>
          <w:spacing w:val="1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环纹和纵纹，无正常视力可见的外来杂质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”</w:t>
      </w:r>
    </w:p>
    <w:p>
      <w:pPr>
        <w:ind w:left="457"/>
        <w:spacing w:before="162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感官检验方法规定为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“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取适量样品置于洁净白色瓷盘中，在自然光</w:t>
      </w:r>
    </w:p>
    <w:p>
      <w:pPr>
        <w:ind w:left="41"/>
        <w:spacing w:before="27" w:line="560" w:lineRule="exact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6"/>
          <w:position w:val="7"/>
        </w:rPr>
        <w:t>线下采用鼻嗅、</w:t>
      </w:r>
      <w:r>
        <w:rPr>
          <w:rFonts w:ascii="FangSong_GB2312" w:hAnsi="FangSong_GB2312" w:eastAsia="FangSong_GB2312" w:cs="FangSong_GB2312"/>
          <w:sz w:val="28"/>
          <w:szCs w:val="28"/>
          <w:spacing w:val="-81"/>
          <w:position w:val="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  <w:position w:val="7"/>
        </w:rPr>
        <w:t>目测、</w:t>
      </w:r>
      <w:r>
        <w:rPr>
          <w:rFonts w:ascii="FangSong_GB2312" w:hAnsi="FangSong_GB2312" w:eastAsia="FangSong_GB2312" w:cs="FangSong_GB2312"/>
          <w:sz w:val="28"/>
          <w:szCs w:val="28"/>
          <w:spacing w:val="-83"/>
          <w:position w:val="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  <w:position w:val="7"/>
        </w:rPr>
        <w:t>口尝的方法进行检验。</w:t>
      </w:r>
      <w:r>
        <w:rPr>
          <w:rFonts w:ascii="Times New Roman" w:hAnsi="Times New Roman" w:eastAsia="Times New Roman" w:cs="Times New Roman"/>
          <w:sz w:val="28"/>
          <w:szCs w:val="28"/>
          <w:spacing w:val="-6"/>
          <w:position w:val="7"/>
        </w:rPr>
        <w:t>”</w:t>
      </w:r>
      <w:r>
        <w:rPr>
          <w:rFonts w:ascii="FangSong_GB2312" w:hAnsi="FangSong_GB2312" w:eastAsia="FangSong_GB2312" w:cs="FangSong_GB2312"/>
          <w:sz w:val="28"/>
          <w:szCs w:val="28"/>
          <w:spacing w:val="-6"/>
          <w:position w:val="7"/>
        </w:rPr>
        <w:t>具体检测情况如</w:t>
      </w:r>
      <w:hyperlink w:history="true" w:anchor="bookmark1">
        <w:r>
          <w:rPr>
            <w:rFonts w:ascii="FangSong_GB2312" w:hAnsi="FangSong_GB2312" w:eastAsia="FangSong_GB2312" w:cs="FangSong_GB2312"/>
            <w:sz w:val="28"/>
            <w:szCs w:val="28"/>
            <w:spacing w:val="-6"/>
            <w:position w:val="7"/>
          </w:rPr>
          <w:t>图</w:t>
        </w:r>
        <w:r>
          <w:rPr>
            <w:rFonts w:ascii="FangSong_GB2312" w:hAnsi="FangSong_GB2312" w:eastAsia="FangSong_GB2312" w:cs="FangSong_GB2312"/>
            <w:sz w:val="28"/>
            <w:szCs w:val="28"/>
            <w:spacing w:val="-37"/>
            <w:position w:val="7"/>
          </w:rPr>
          <w:t xml:space="preserve"> </w:t>
        </w:r>
        <w:r>
          <w:rPr>
            <w:rFonts w:ascii="Times New Roman" w:hAnsi="Times New Roman" w:eastAsia="Times New Roman" w:cs="Times New Roman"/>
            <w:sz w:val="28"/>
            <w:szCs w:val="28"/>
            <w:spacing w:val="-6"/>
            <w:position w:val="7"/>
          </w:rPr>
          <w:t>1</w:t>
        </w:r>
      </w:hyperlink>
      <w:r>
        <w:rPr>
          <w:rFonts w:ascii="FangSong_GB2312" w:hAnsi="FangSong_GB2312" w:eastAsia="FangSong_GB2312" w:cs="FangSong_GB2312"/>
          <w:sz w:val="28"/>
          <w:szCs w:val="28"/>
          <w:spacing w:val="-6"/>
          <w:position w:val="7"/>
        </w:rPr>
        <w:t>。</w:t>
      </w:r>
    </w:p>
    <w:p>
      <w:pPr>
        <w:ind w:firstLine="573"/>
        <w:spacing w:before="186" w:line="2753" w:lineRule="exact"/>
        <w:rPr/>
      </w:pPr>
      <w:r>
        <w:rPr>
          <w:position w:val="-55"/>
        </w:rPr>
        <w:drawing>
          <wp:inline distT="0" distB="0" distL="0" distR="0">
            <wp:extent cx="5276088" cy="1748027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6088" cy="174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3" w:lineRule="auto"/>
        <w:rPr/>
      </w:pPr>
      <w:r/>
    </w:p>
    <w:p>
      <w:pPr>
        <w:ind w:firstLine="573"/>
        <w:spacing w:before="1" w:line="2688" w:lineRule="exact"/>
        <w:rPr/>
      </w:pPr>
      <w:r>
        <w:rPr>
          <w:position w:val="-53"/>
        </w:rPr>
        <w:drawing>
          <wp:inline distT="0" distB="0" distL="0" distR="0">
            <wp:extent cx="5274563" cy="170687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563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334"/>
        <w:spacing w:before="253" w:line="214" w:lineRule="auto"/>
        <w:rPr>
          <w:rFonts w:ascii="FangSong_GB2312" w:hAnsi="FangSong_GB2312" w:eastAsia="FangSong_GB2312" w:cs="FangSong_GB2312"/>
          <w:sz w:val="24"/>
          <w:szCs w:val="24"/>
        </w:rPr>
      </w:pPr>
      <w:r>
        <w:rPr>
          <w:rFonts w:ascii="FangSong_GB2312" w:hAnsi="FangSong_GB2312" w:eastAsia="FangSong_GB2312" w:cs="FangSong_GB2312"/>
          <w:sz w:val="24"/>
          <w:szCs w:val="24"/>
          <w:spacing w:val="-13"/>
        </w:rPr>
        <w:t>图</w:t>
      </w:r>
      <w:r>
        <w:rPr>
          <w:rFonts w:ascii="FangSong_GB2312" w:hAnsi="FangSong_GB2312" w:eastAsia="FangSong_GB2312" w:cs="FangSong_GB2312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>1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 </w:t>
      </w:r>
      <w:r>
        <w:rPr>
          <w:rFonts w:ascii="FangSong_GB2312" w:hAnsi="FangSong_GB2312" w:eastAsia="FangSong_GB2312" w:cs="FangSong_GB2312"/>
          <w:sz w:val="24"/>
          <w:szCs w:val="24"/>
          <w:spacing w:val="-13"/>
        </w:rPr>
        <w:t>灵芝性状图</w:t>
      </w:r>
    </w:p>
    <w:p>
      <w:pPr>
        <w:ind w:left="27"/>
        <w:spacing w:before="205" w:line="230" w:lineRule="auto"/>
        <w:outlineLvl w:val="1"/>
        <w:rPr>
          <w:rFonts w:ascii="KaiTi" w:hAnsi="KaiTi" w:eastAsia="KaiTi" w:cs="KaiTi"/>
          <w:sz w:val="28"/>
          <w:szCs w:val="28"/>
        </w:rPr>
      </w:pPr>
      <w:bookmarkStart w:name="bookmark1" w:id="1"/>
      <w:bookmarkEnd w:id="1"/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5.  </w:t>
      </w:r>
      <w:r>
        <w:rPr>
          <w:rFonts w:ascii="KaiTi" w:hAnsi="KaiTi" w:eastAsia="KaiTi" w:cs="KaiTi"/>
          <w:sz w:val="28"/>
          <w:szCs w:val="28"/>
          <w:spacing w:val="-2"/>
        </w:rPr>
        <w:t>理化指标</w:t>
      </w:r>
    </w:p>
    <w:p>
      <w:pPr>
        <w:ind w:left="586"/>
        <w:spacing w:before="211" w:line="218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5.1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水分</w:t>
      </w:r>
    </w:p>
    <w:p>
      <w:pPr>
        <w:ind w:left="448"/>
        <w:spacing w:before="229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项目组制订标准检测：按照《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GB 5009.3-2016 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食品安全国家标准</w:t>
      </w:r>
    </w:p>
    <w:p>
      <w:pPr>
        <w:ind w:left="31" w:right="561" w:hanging="2"/>
        <w:spacing w:before="237" w:line="361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食品中水分的测定》对</w:t>
      </w:r>
      <w:r>
        <w:rPr>
          <w:rFonts w:ascii="FangSong_GB2312" w:hAnsi="FangSong_GB2312" w:eastAsia="FangSong_GB2312" w:cs="FangSong_GB2312"/>
          <w:sz w:val="28"/>
          <w:szCs w:val="28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122</w:t>
      </w:r>
      <w:r>
        <w:rPr>
          <w:rFonts w:ascii="Times New Roman" w:hAnsi="Times New Roman" w:eastAsia="Times New Roman" w:cs="Times New Roman"/>
          <w:sz w:val="28"/>
          <w:szCs w:val="28"/>
          <w:spacing w:val="1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批次的灵芝样品进行检测，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水分检测结果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最大值</w:t>
      </w:r>
      <w:r>
        <w:rPr>
          <w:rFonts w:ascii="FangSong_GB2312" w:hAnsi="FangSong_GB2312" w:eastAsia="FangSong_GB2312" w:cs="FangSong_GB2312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18.8 g/100g</w:t>
      </w:r>
      <w:r>
        <w:rPr>
          <w:rFonts w:ascii="Times New Roman" w:hAnsi="Times New Roman" w:eastAsia="Times New Roman" w:cs="Times New Roman"/>
          <w:sz w:val="28"/>
          <w:szCs w:val="28"/>
          <w:spacing w:val="-3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，最小值</w:t>
      </w:r>
      <w:r>
        <w:rPr>
          <w:rFonts w:ascii="FangSong_GB2312" w:hAnsi="FangSong_GB2312" w:eastAsia="FangSong_GB2312" w:cs="FangSong_GB2312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4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 xml:space="preserve"> g/100g</w:t>
      </w:r>
      <w:r>
        <w:rPr>
          <w:rFonts w:ascii="Times New Roman" w:hAnsi="Times New Roman" w:eastAsia="Times New Roman" w:cs="Times New Roman"/>
          <w:sz w:val="28"/>
          <w:szCs w:val="28"/>
          <w:spacing w:val="-3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，均值</w:t>
      </w:r>
      <w:r>
        <w:rPr>
          <w:rFonts w:ascii="FangSong_GB2312" w:hAnsi="FangSong_GB2312" w:eastAsia="FangSong_GB2312" w:cs="FangSong_GB2312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9.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15 g/100g</w:t>
      </w:r>
      <w:r>
        <w:rPr>
          <w:rFonts w:ascii="Times New Roman" w:hAnsi="Times New Roman" w:eastAsia="Times New Roman" w:cs="Times New Roman"/>
          <w:sz w:val="28"/>
          <w:szCs w:val="28"/>
          <w:spacing w:val="-3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，具体检测结</w:t>
      </w:r>
    </w:p>
    <w:p>
      <w:pPr>
        <w:spacing w:line="361" w:lineRule="auto"/>
        <w:sectPr>
          <w:footerReference w:type="default" r:id="rId39"/>
          <w:pgSz w:w="11906" w:h="16839"/>
          <w:pgMar w:top="400" w:right="1237" w:bottom="1362" w:left="1785" w:header="0" w:footer="1200" w:gutter="0"/>
        </w:sectPr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126" w:right="107" w:hanging="10"/>
        <w:spacing w:before="91" w:line="365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果见附件</w:t>
      </w:r>
      <w:r>
        <w:rPr>
          <w:rFonts w:ascii="FangSong_GB2312" w:hAnsi="FangSong_GB2312" w:eastAsia="FangSong_GB2312" w:cs="FangSong_GB2312"/>
          <w:sz w:val="28"/>
          <w:szCs w:val="28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4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。样品涵盖</w:t>
      </w:r>
      <w:r>
        <w:rPr>
          <w:rFonts w:ascii="FangSong_GB2312" w:hAnsi="FangSong_GB2312" w:eastAsia="FangSong_GB2312" w:cs="FangSong_GB2312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种种植方式（代料和段木</w:t>
      </w:r>
      <w:r>
        <w:rPr>
          <w:rFonts w:ascii="FangSong_GB2312" w:hAnsi="FangSong_GB2312" w:eastAsia="FangSong_GB2312" w:cs="FangSong_GB2312"/>
          <w:sz w:val="28"/>
          <w:szCs w:val="28"/>
          <w:spacing w:val="7"/>
        </w:rPr>
        <w:t>），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其具体分布情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1"/>
        </w:rPr>
        <w:t>况见表</w:t>
      </w:r>
      <w:r>
        <w:rPr>
          <w:rFonts w:ascii="FangSong_GB2312" w:hAnsi="FangSong_GB2312" w:eastAsia="FangSong_GB2312" w:cs="FangSong_GB2312"/>
          <w:sz w:val="28"/>
          <w:szCs w:val="28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1"/>
        </w:rPr>
        <w:t>1</w:t>
      </w:r>
      <w:r>
        <w:rPr>
          <w:rFonts w:ascii="FangSong_GB2312" w:hAnsi="FangSong_GB2312" w:eastAsia="FangSong_GB2312" w:cs="FangSong_GB2312"/>
          <w:sz w:val="28"/>
          <w:szCs w:val="28"/>
          <w:spacing w:val="-11"/>
        </w:rPr>
        <w:t>。</w:t>
      </w:r>
    </w:p>
    <w:p>
      <w:pPr>
        <w:ind w:left="3038"/>
        <w:spacing w:line="213" w:lineRule="auto"/>
        <w:rPr>
          <w:rFonts w:ascii="FangSong_GB2312" w:hAnsi="FangSong_GB2312" w:eastAsia="FangSong_GB2312" w:cs="FangSong_GB2312"/>
          <w:sz w:val="24"/>
          <w:szCs w:val="24"/>
        </w:rPr>
      </w:pPr>
      <w:r>
        <w:rPr>
          <w:rFonts w:ascii="FangSong_GB2312" w:hAnsi="FangSong_GB2312" w:eastAsia="FangSong_GB2312" w:cs="FangSong_GB2312"/>
          <w:sz w:val="24"/>
          <w:szCs w:val="24"/>
          <w:spacing w:val="-3"/>
        </w:rPr>
        <w:t>表</w:t>
      </w:r>
      <w:r>
        <w:rPr>
          <w:rFonts w:ascii="FangSong_GB2312" w:hAnsi="FangSong_GB2312" w:eastAsia="FangSong_GB2312" w:cs="FangSong_GB2312"/>
          <w:sz w:val="24"/>
          <w:szCs w:val="24"/>
          <w:spacing w:val="-36"/>
        </w:rPr>
        <w:t xml:space="preserve"> </w:t>
      </w:r>
      <w:r>
        <w:rPr>
          <w:rFonts w:ascii="FangSong_GB2312" w:hAnsi="FangSong_GB2312" w:eastAsia="FangSong_GB2312" w:cs="FangSong_GB2312"/>
          <w:sz w:val="24"/>
          <w:szCs w:val="24"/>
          <w:spacing w:val="-3"/>
        </w:rPr>
        <w:t>1</w:t>
      </w:r>
      <w:r>
        <w:rPr>
          <w:rFonts w:ascii="FangSong_GB2312" w:hAnsi="FangSong_GB2312" w:eastAsia="FangSong_GB2312" w:cs="FangSong_GB2312"/>
          <w:sz w:val="24"/>
          <w:szCs w:val="24"/>
          <w:spacing w:val="-3"/>
        </w:rPr>
        <w:t xml:space="preserve"> </w:t>
      </w:r>
      <w:r>
        <w:rPr>
          <w:rFonts w:ascii="FangSong_GB2312" w:hAnsi="FangSong_GB2312" w:eastAsia="FangSong_GB2312" w:cs="FangSong_GB2312"/>
          <w:sz w:val="24"/>
          <w:szCs w:val="24"/>
          <w:spacing w:val="-3"/>
        </w:rPr>
        <w:t>水分检测结果分布</w:t>
      </w:r>
    </w:p>
    <w:p>
      <w:pPr>
        <w:spacing w:line="196" w:lineRule="exact"/>
        <w:rPr/>
      </w:pPr>
      <w:r/>
    </w:p>
    <w:tbl>
      <w:tblPr>
        <w:tblStyle w:val="TableNormal"/>
        <w:tblW w:w="8522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018"/>
        <w:gridCol w:w="780"/>
        <w:gridCol w:w="960"/>
        <w:gridCol w:w="901"/>
        <w:gridCol w:w="900"/>
        <w:gridCol w:w="900"/>
        <w:gridCol w:w="891"/>
        <w:gridCol w:w="1172"/>
      </w:tblGrid>
      <w:tr>
        <w:trPr>
          <w:trHeight w:val="323" w:hRule="atLeast"/>
        </w:trPr>
        <w:tc>
          <w:tcPr>
            <w:tcW w:w="201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right="4"/>
              <w:spacing w:before="42" w:line="208" w:lineRule="auto"/>
              <w:jc w:val="right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2"/>
              </w:rPr>
              <w:t>检测值（g/100g）</w:t>
            </w:r>
          </w:p>
        </w:tc>
        <w:tc>
          <w:tcPr>
            <w:tcW w:w="780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09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4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~</w:t>
            </w:r>
          </w:p>
        </w:tc>
        <w:tc>
          <w:tcPr>
            <w:tcW w:w="960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232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>6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>~</w:t>
            </w:r>
          </w:p>
        </w:tc>
        <w:tc>
          <w:tcPr>
            <w:tcW w:w="90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72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>8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>~</w:t>
            </w:r>
          </w:p>
        </w:tc>
        <w:tc>
          <w:tcPr>
            <w:tcW w:w="900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75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10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6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~</w:t>
            </w:r>
          </w:p>
        </w:tc>
        <w:tc>
          <w:tcPr>
            <w:tcW w:w="900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75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12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6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~</w:t>
            </w:r>
          </w:p>
        </w:tc>
        <w:tc>
          <w:tcPr>
            <w:tcW w:w="89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75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14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6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~</w:t>
            </w:r>
          </w:p>
        </w:tc>
        <w:tc>
          <w:tcPr>
            <w:tcW w:w="117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282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合计</w:t>
            </w:r>
          </w:p>
        </w:tc>
      </w:tr>
      <w:tr>
        <w:trPr>
          <w:trHeight w:val="306" w:hRule="atLeast"/>
        </w:trPr>
        <w:tc>
          <w:tcPr>
            <w:tcW w:w="2018" w:type="dxa"/>
            <w:vAlign w:val="top"/>
            <w:tcBorders>
              <w:top w:val="single" w:color="000000" w:sz="6" w:space="0"/>
            </w:tcBorders>
          </w:tcPr>
          <w:p>
            <w:pPr>
              <w:ind w:left="120"/>
              <w:spacing w:before="35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4"/>
              </w:rPr>
              <w:t>样品个数</w:t>
            </w:r>
          </w:p>
        </w:tc>
        <w:tc>
          <w:tcPr>
            <w:tcW w:w="780" w:type="dxa"/>
            <w:vAlign w:val="top"/>
            <w:tcBorders>
              <w:top w:val="single" w:color="000000" w:sz="6" w:space="0"/>
            </w:tcBorders>
          </w:tcPr>
          <w:p>
            <w:pPr>
              <w:ind w:left="112"/>
              <w:spacing w:before="35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</w:rPr>
              <w:t>9</w:t>
            </w:r>
          </w:p>
        </w:tc>
        <w:tc>
          <w:tcPr>
            <w:tcW w:w="960" w:type="dxa"/>
            <w:vAlign w:val="top"/>
            <w:tcBorders>
              <w:top w:val="single" w:color="000000" w:sz="6" w:space="0"/>
            </w:tcBorders>
          </w:tcPr>
          <w:p>
            <w:pPr>
              <w:ind w:left="229"/>
              <w:spacing w:before="35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43</w:t>
            </w:r>
          </w:p>
        </w:tc>
        <w:tc>
          <w:tcPr>
            <w:tcW w:w="901" w:type="dxa"/>
            <w:vAlign w:val="top"/>
            <w:tcBorders>
              <w:top w:val="single" w:color="000000" w:sz="6" w:space="0"/>
            </w:tcBorders>
          </w:tcPr>
          <w:p>
            <w:pPr>
              <w:ind w:left="179"/>
              <w:spacing w:before="35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5"/>
              </w:rPr>
              <w:t>30</w:t>
            </w:r>
          </w:p>
        </w:tc>
        <w:tc>
          <w:tcPr>
            <w:tcW w:w="900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35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3"/>
              </w:rPr>
              <w:t>14</w:t>
            </w:r>
          </w:p>
        </w:tc>
        <w:tc>
          <w:tcPr>
            <w:tcW w:w="900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35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3"/>
              </w:rPr>
              <w:t>19</w:t>
            </w:r>
          </w:p>
        </w:tc>
        <w:tc>
          <w:tcPr>
            <w:tcW w:w="891" w:type="dxa"/>
            <w:vAlign w:val="top"/>
            <w:tcBorders>
              <w:top w:val="single" w:color="000000" w:sz="6" w:space="0"/>
            </w:tcBorders>
          </w:tcPr>
          <w:p>
            <w:pPr>
              <w:ind w:left="171"/>
              <w:spacing w:before="35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</w:rPr>
              <w:t>7</w:t>
            </w:r>
          </w:p>
        </w:tc>
        <w:tc>
          <w:tcPr>
            <w:tcW w:w="1172" w:type="dxa"/>
            <w:vAlign w:val="top"/>
            <w:tcBorders>
              <w:top w:val="single" w:color="000000" w:sz="6" w:space="0"/>
            </w:tcBorders>
          </w:tcPr>
          <w:p>
            <w:pPr>
              <w:ind w:left="294"/>
              <w:spacing w:before="35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122</w:t>
            </w:r>
          </w:p>
        </w:tc>
      </w:tr>
      <w:tr>
        <w:trPr>
          <w:trHeight w:val="304" w:hRule="atLeast"/>
        </w:trPr>
        <w:tc>
          <w:tcPr>
            <w:tcW w:w="2018" w:type="dxa"/>
            <w:vAlign w:val="top"/>
          </w:tcPr>
          <w:p>
            <w:pPr>
              <w:ind w:left="127"/>
              <w:spacing w:before="41" w:line="19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>百分比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>(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>%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2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>)</w:t>
            </w:r>
          </w:p>
        </w:tc>
        <w:tc>
          <w:tcPr>
            <w:tcW w:w="780" w:type="dxa"/>
            <w:vAlign w:val="top"/>
          </w:tcPr>
          <w:p>
            <w:pPr>
              <w:ind w:left="112"/>
              <w:spacing w:before="41" w:line="19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6"/>
              </w:rPr>
              <w:t>7.37</w:t>
            </w:r>
          </w:p>
        </w:tc>
        <w:tc>
          <w:tcPr>
            <w:tcW w:w="960" w:type="dxa"/>
            <w:vAlign w:val="top"/>
          </w:tcPr>
          <w:p>
            <w:pPr>
              <w:ind w:left="239"/>
              <w:spacing w:before="41" w:line="19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6"/>
              </w:rPr>
              <w:t>35.25</w:t>
            </w:r>
          </w:p>
        </w:tc>
        <w:tc>
          <w:tcPr>
            <w:tcW w:w="901" w:type="dxa"/>
            <w:vAlign w:val="top"/>
          </w:tcPr>
          <w:p>
            <w:pPr>
              <w:ind w:left="170"/>
              <w:spacing w:before="41" w:line="19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4"/>
              </w:rPr>
              <w:t>24.59</w:t>
            </w:r>
          </w:p>
        </w:tc>
        <w:tc>
          <w:tcPr>
            <w:tcW w:w="900" w:type="dxa"/>
            <w:vAlign w:val="top"/>
          </w:tcPr>
          <w:p>
            <w:pPr>
              <w:ind w:left="175"/>
              <w:spacing w:before="41" w:line="19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11.48</w:t>
            </w:r>
          </w:p>
        </w:tc>
        <w:tc>
          <w:tcPr>
            <w:tcW w:w="900" w:type="dxa"/>
            <w:vAlign w:val="top"/>
          </w:tcPr>
          <w:p>
            <w:pPr>
              <w:ind w:left="175"/>
              <w:spacing w:before="41" w:line="19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15.57</w:t>
            </w:r>
          </w:p>
        </w:tc>
        <w:tc>
          <w:tcPr>
            <w:tcW w:w="891" w:type="dxa"/>
            <w:vAlign w:val="top"/>
          </w:tcPr>
          <w:p>
            <w:pPr>
              <w:ind w:left="172"/>
              <w:spacing w:before="41" w:line="19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6"/>
              </w:rPr>
              <w:t>5.74</w:t>
            </w:r>
          </w:p>
        </w:tc>
        <w:tc>
          <w:tcPr>
            <w:tcW w:w="1172" w:type="dxa"/>
            <w:vAlign w:val="top"/>
          </w:tcPr>
          <w:p>
            <w:pPr>
              <w:ind w:left="294"/>
              <w:spacing w:before="41" w:line="19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100</w:t>
            </w:r>
          </w:p>
        </w:tc>
      </w:tr>
      <w:tr>
        <w:trPr>
          <w:trHeight w:val="329" w:hRule="atLeast"/>
        </w:trPr>
        <w:tc>
          <w:tcPr>
            <w:tcW w:w="2018" w:type="dxa"/>
            <w:vAlign w:val="top"/>
            <w:tcBorders>
              <w:bottom w:val="single" w:color="000000" w:sz="6" w:space="0"/>
            </w:tcBorders>
          </w:tcPr>
          <w:p>
            <w:pPr>
              <w:ind w:left="129"/>
              <w:spacing w:before="49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累计百分比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(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%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)</w:t>
            </w:r>
          </w:p>
        </w:tc>
        <w:tc>
          <w:tcPr>
            <w:tcW w:w="780" w:type="dxa"/>
            <w:vAlign w:val="top"/>
            <w:tcBorders>
              <w:bottom w:val="single" w:color="000000" w:sz="6" w:space="0"/>
            </w:tcBorders>
          </w:tcPr>
          <w:p>
            <w:pPr>
              <w:ind w:left="112"/>
              <w:spacing w:before="49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6"/>
              </w:rPr>
              <w:t>7.37</w:t>
            </w:r>
          </w:p>
        </w:tc>
        <w:tc>
          <w:tcPr>
            <w:tcW w:w="960" w:type="dxa"/>
            <w:vAlign w:val="top"/>
            <w:tcBorders>
              <w:bottom w:val="single" w:color="000000" w:sz="6" w:space="0"/>
            </w:tcBorders>
          </w:tcPr>
          <w:p>
            <w:pPr>
              <w:ind w:left="229"/>
              <w:spacing w:before="49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4"/>
              </w:rPr>
              <w:t>42.62</w:t>
            </w:r>
          </w:p>
        </w:tc>
        <w:tc>
          <w:tcPr>
            <w:tcW w:w="901" w:type="dxa"/>
            <w:vAlign w:val="top"/>
            <w:tcBorders>
              <w:bottom w:val="single" w:color="000000" w:sz="6" w:space="0"/>
            </w:tcBorders>
          </w:tcPr>
          <w:p>
            <w:pPr>
              <w:ind w:left="172"/>
              <w:spacing w:before="49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67.21</w:t>
            </w:r>
          </w:p>
        </w:tc>
        <w:tc>
          <w:tcPr>
            <w:tcW w:w="900" w:type="dxa"/>
            <w:vAlign w:val="top"/>
            <w:tcBorders>
              <w:bottom w:val="single" w:color="000000" w:sz="6" w:space="0"/>
            </w:tcBorders>
          </w:tcPr>
          <w:p>
            <w:pPr>
              <w:ind w:left="171"/>
              <w:spacing w:before="49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78.69</w:t>
            </w:r>
          </w:p>
        </w:tc>
        <w:tc>
          <w:tcPr>
            <w:tcW w:w="900" w:type="dxa"/>
            <w:vAlign w:val="top"/>
            <w:tcBorders>
              <w:bottom w:val="single" w:color="000000" w:sz="6" w:space="0"/>
            </w:tcBorders>
          </w:tcPr>
          <w:p>
            <w:pPr>
              <w:ind w:left="171"/>
              <w:spacing w:before="49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94.26</w:t>
            </w:r>
          </w:p>
        </w:tc>
        <w:tc>
          <w:tcPr>
            <w:tcW w:w="891" w:type="dxa"/>
            <w:vAlign w:val="top"/>
            <w:tcBorders>
              <w:bottom w:val="single" w:color="000000" w:sz="6" w:space="0"/>
            </w:tcBorders>
          </w:tcPr>
          <w:p>
            <w:pPr>
              <w:ind w:left="175"/>
              <w:spacing w:before="49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100</w:t>
            </w:r>
          </w:p>
        </w:tc>
        <w:tc>
          <w:tcPr>
            <w:tcW w:w="1172" w:type="dxa"/>
            <w:vAlign w:val="top"/>
            <w:tcBorders>
              <w:bottom w:val="single" w:color="000000" w:sz="6" w:space="0"/>
            </w:tcBorders>
          </w:tcPr>
          <w:p>
            <w:pPr>
              <w:ind w:left="294"/>
              <w:spacing w:before="49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100</w:t>
            </w:r>
          </w:p>
        </w:tc>
      </w:tr>
    </w:tbl>
    <w:p>
      <w:pPr>
        <w:ind w:left="536"/>
        <w:spacing w:before="209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24"/>
        </w:rPr>
        <w:t>标准限量值的制定</w:t>
      </w:r>
      <w:r>
        <w:rPr>
          <w:rFonts w:ascii="FangSong_GB2312" w:hAnsi="FangSong_GB2312" w:eastAsia="FangSong_GB2312" w:cs="FangSong_GB2312"/>
          <w:sz w:val="28"/>
          <w:szCs w:val="28"/>
          <w:spacing w:val="-7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24"/>
        </w:rPr>
        <w:t>：</w:t>
      </w:r>
      <w:r>
        <w:rPr>
          <w:rFonts w:ascii="FangSong_GB2312" w:hAnsi="FangSong_GB2312" w:eastAsia="FangSong_GB2312" w:cs="FangSong_GB2312"/>
          <w:sz w:val="28"/>
          <w:szCs w:val="28"/>
          <w:spacing w:val="-6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24"/>
        </w:rPr>
        <w:t>中国药典</w:t>
      </w:r>
      <w:r>
        <w:rPr>
          <w:rFonts w:ascii="FangSong_GB2312" w:hAnsi="FangSong_GB2312" w:eastAsia="FangSong_GB2312" w:cs="FangSong_GB2312"/>
          <w:sz w:val="28"/>
          <w:szCs w:val="28"/>
          <w:spacing w:val="-7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24"/>
        </w:rPr>
        <w:t>、</w:t>
      </w:r>
      <w:r>
        <w:rPr>
          <w:rFonts w:ascii="FangSong_GB2312" w:hAnsi="FangSong_GB2312" w:eastAsia="FangSong_GB2312" w:cs="FangSong_GB2312"/>
          <w:sz w:val="28"/>
          <w:szCs w:val="28"/>
          <w:spacing w:val="-5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24"/>
        </w:rPr>
        <w:t>山东省食品安全</w:t>
      </w:r>
      <w:r>
        <w:rPr>
          <w:rFonts w:ascii="FangSong_GB2312" w:hAnsi="FangSong_GB2312" w:eastAsia="FangSong_GB2312" w:cs="FangSong_GB2312"/>
          <w:sz w:val="28"/>
          <w:szCs w:val="28"/>
          <w:spacing w:val="23"/>
        </w:rPr>
        <w:t>地方标准</w:t>
      </w:r>
    </w:p>
    <w:p>
      <w:pPr>
        <w:ind w:left="108" w:right="46"/>
        <w:spacing w:before="238" w:line="368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DBS37/003-2024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）中规定干制灵芝合格品水分≤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17 g/100g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；福建省</w:t>
      </w:r>
      <w:r>
        <w:rPr>
          <w:rFonts w:ascii="FangSong_GB2312" w:hAnsi="FangSong_GB2312" w:eastAsia="FangSong_GB2312" w:cs="FangSong_GB2312"/>
          <w:sz w:val="28"/>
          <w:szCs w:val="28"/>
          <w:spacing w:val="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5"/>
        </w:rPr>
        <w:t>食品安全地方标准（</w:t>
      </w:r>
      <w:r>
        <w:rPr>
          <w:rFonts w:ascii="Times New Roman" w:hAnsi="Times New Roman" w:eastAsia="Times New Roman" w:cs="Times New Roman"/>
          <w:sz w:val="28"/>
          <w:szCs w:val="28"/>
        </w:rPr>
        <w:t>DBS</w:t>
      </w:r>
      <w:r>
        <w:rPr>
          <w:rFonts w:ascii="Times New Roman" w:hAnsi="Times New Roman" w:eastAsia="Times New Roman" w:cs="Times New Roman"/>
          <w:sz w:val="28"/>
          <w:szCs w:val="28"/>
          <w:spacing w:val="5"/>
        </w:rPr>
        <w:t>35/008-2024</w:t>
      </w:r>
      <w:r>
        <w:rPr>
          <w:rFonts w:ascii="FangSong_GB2312" w:hAnsi="FangSong_GB2312" w:eastAsia="FangSong_GB2312" w:cs="FangSong_GB2312"/>
          <w:sz w:val="28"/>
          <w:szCs w:val="28"/>
          <w:spacing w:val="5"/>
        </w:rPr>
        <w:t>）、重庆市食品安全地方标准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DBS50/032-2023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）中规定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，干制灵芝合格品水分</w:t>
      </w:r>
      <w:r>
        <w:rPr>
          <w:rFonts w:ascii="FangSong_GB2312" w:hAnsi="FangSong_GB2312" w:eastAsia="FangSong_GB2312" w:cs="FangSong_GB2312"/>
          <w:sz w:val="28"/>
          <w:szCs w:val="28"/>
          <w:spacing w:val="-6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≤</w:t>
      </w:r>
      <w:r>
        <w:rPr>
          <w:rFonts w:ascii="FangSong_GB2312" w:hAnsi="FangSong_GB2312" w:eastAsia="FangSong_GB2312" w:cs="FangSong_GB2312"/>
          <w:sz w:val="28"/>
          <w:szCs w:val="28"/>
          <w:spacing w:val="-10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12.0 g/100g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；贵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州省食品安全地方食品标准（</w:t>
      </w:r>
      <w:r>
        <w:rPr>
          <w:rFonts w:ascii="Times New Roman" w:hAnsi="Times New Roman" w:eastAsia="Times New Roman" w:cs="Times New Roman"/>
          <w:sz w:val="28"/>
          <w:szCs w:val="28"/>
        </w:rPr>
        <w:t>DBS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>52/ 057-2022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）中规定，干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制灵芝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6"/>
        </w:rPr>
        <w:t>合格品水分≤</w:t>
      </w:r>
      <w:r>
        <w:rPr>
          <w:rFonts w:ascii="FangSong_GB2312" w:hAnsi="FangSong_GB2312" w:eastAsia="FangSong_GB2312" w:cs="FangSong_GB2312"/>
          <w:sz w:val="28"/>
          <w:szCs w:val="28"/>
          <w:spacing w:val="-9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13.0 g/100g</w:t>
      </w:r>
      <w:r>
        <w:rPr>
          <w:rFonts w:ascii="FangSong_GB2312" w:hAnsi="FangSong_GB2312" w:eastAsia="FangSong_GB2312" w:cs="FangSong_GB2312"/>
          <w:sz w:val="28"/>
          <w:szCs w:val="28"/>
          <w:spacing w:val="6"/>
        </w:rPr>
        <w:t>；广西壮族自治区食品安全</w:t>
      </w:r>
      <w:r>
        <w:rPr>
          <w:rFonts w:ascii="FangSong_GB2312" w:hAnsi="FangSong_GB2312" w:eastAsia="FangSong_GB2312" w:cs="FangSong_GB2312"/>
          <w:sz w:val="28"/>
          <w:szCs w:val="28"/>
          <w:spacing w:val="5"/>
        </w:rPr>
        <w:t>地方食品标准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DBS45/072-2021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）和云南省食品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安全地方标准（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DBS53/036-2023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，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已废止）中规定，干制灵芝合格品水分≤</w:t>
      </w:r>
      <w:r>
        <w:rPr>
          <w:rFonts w:ascii="FangSong_GB2312" w:hAnsi="FangSong_GB2312" w:eastAsia="FangSong_GB2312" w:cs="FangSong_GB2312"/>
          <w:sz w:val="28"/>
          <w:szCs w:val="28"/>
          <w:spacing w:val="-10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15.0 g/1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00g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。</w:t>
      </w:r>
    </w:p>
    <w:p>
      <w:pPr>
        <w:ind w:left="122" w:right="106" w:firstLine="428"/>
        <w:spacing w:before="12" w:line="291" w:lineRule="auto"/>
        <w:outlineLvl w:val="2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综合参考灵芝干制品水分的限量标准，并结合项目</w:t>
      </w:r>
      <w:r>
        <w:rPr>
          <w:rFonts w:ascii="FangSong_GB2312" w:hAnsi="FangSong_GB2312" w:eastAsia="FangSong_GB2312" w:cs="FangSong_GB2312"/>
          <w:sz w:val="28"/>
          <w:szCs w:val="28"/>
        </w:rPr>
        <w:t>组前期检测数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6"/>
        </w:rPr>
        <w:t>据和灵芝的实际情况</w:t>
      </w:r>
      <w:r>
        <w:rPr>
          <w:rFonts w:ascii="FangSong_GB2312" w:hAnsi="FangSong_GB2312" w:eastAsia="FangSong_GB2312" w:cs="FangSong_GB2312"/>
          <w:sz w:val="28"/>
          <w:szCs w:val="28"/>
          <w:spacing w:val="-6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6"/>
        </w:rPr>
        <w:t>，本标准中限定</w:t>
      </w:r>
      <w:r>
        <w:rPr>
          <w:rFonts w:ascii="FangSong_GB2312" w:hAnsi="FangSong_GB2312" w:eastAsia="FangSong_GB2312" w:cs="FangSong_GB2312"/>
          <w:sz w:val="28"/>
          <w:szCs w:val="28"/>
          <w:spacing w:val="-5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6"/>
        </w:rPr>
        <w:t>了合格品中水分应</w:t>
      </w:r>
      <w:r>
        <w:rPr>
          <w:rFonts w:ascii="FangSong_GB2312" w:hAnsi="FangSong_GB2312" w:eastAsia="FangSong_GB2312" w:cs="FangSong_GB2312"/>
          <w:sz w:val="28"/>
          <w:szCs w:val="28"/>
          <w:spacing w:val="-3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6"/>
        </w:rPr>
        <w:t>≤</w:t>
      </w:r>
      <w:r>
        <w:rPr>
          <w:rFonts w:ascii="FangSong_GB2312" w:hAnsi="FangSong_GB2312" w:eastAsia="FangSong_GB2312" w:cs="FangSong_GB2312"/>
          <w:sz w:val="28"/>
          <w:szCs w:val="28"/>
          <w:spacing w:val="-7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>12.0</w:t>
      </w:r>
    </w:p>
    <w:p>
      <w:pPr>
        <w:ind w:left="116" w:right="25"/>
        <w:spacing w:before="237" w:line="360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g/100g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。该限量严于中国药典中的水分限</w:t>
      </w:r>
      <w:r>
        <w:rPr>
          <w:rFonts w:ascii="FangSong_GB2312" w:hAnsi="FangSong_GB2312" w:eastAsia="FangSong_GB2312" w:cs="FangSong_GB2312"/>
          <w:sz w:val="28"/>
          <w:szCs w:val="28"/>
        </w:rPr>
        <w:t>量（</w:t>
      </w:r>
      <w:r>
        <w:rPr>
          <w:rFonts w:ascii="Times New Roman" w:hAnsi="Times New Roman" w:eastAsia="Times New Roman" w:cs="Times New Roman"/>
          <w:sz w:val="28"/>
          <w:szCs w:val="28"/>
        </w:rPr>
        <w:t>17%</w:t>
      </w:r>
      <w:r>
        <w:rPr>
          <w:rFonts w:ascii="FangSong_GB2312" w:hAnsi="FangSong_GB2312" w:eastAsia="FangSong_GB2312" w:cs="FangSong_GB2312"/>
          <w:sz w:val="28"/>
          <w:szCs w:val="28"/>
        </w:rPr>
        <w:t>）。</w:t>
      </w:r>
      <w:r>
        <w:rPr>
          <w:rFonts w:ascii="Times New Roman" w:hAnsi="Times New Roman" w:eastAsia="Times New Roman" w:cs="Times New Roman"/>
          <w:sz w:val="28"/>
          <w:szCs w:val="28"/>
        </w:rPr>
        <w:t>122</w:t>
      </w:r>
      <w:r>
        <w:rPr>
          <w:rFonts w:ascii="Times New Roman" w:hAnsi="Times New Roman" w:eastAsia="Times New Roman" w:cs="Times New Roman"/>
          <w:sz w:val="28"/>
          <w:szCs w:val="28"/>
          <w:spacing w:val="2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批项目制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标检测样品中，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96</w:t>
      </w:r>
      <w:r>
        <w:rPr>
          <w:rFonts w:ascii="Times New Roman" w:hAnsi="Times New Roman" w:eastAsia="Times New Roman" w:cs="Times New Roman"/>
          <w:sz w:val="28"/>
          <w:szCs w:val="28"/>
          <w:spacing w:val="18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批水分均≤</w:t>
      </w:r>
      <w:r>
        <w:rPr>
          <w:rFonts w:ascii="FangSong_GB2312" w:hAnsi="FangSong_GB2312" w:eastAsia="FangSong_GB2312" w:cs="FangSong_GB2312"/>
          <w:sz w:val="28"/>
          <w:szCs w:val="28"/>
          <w:spacing w:val="-10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12.0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g/100g</w:t>
      </w:r>
      <w:r>
        <w:rPr>
          <w:rFonts w:ascii="Times New Roman" w:hAnsi="Times New Roman" w:eastAsia="Times New Roman" w:cs="Times New Roman"/>
          <w:sz w:val="28"/>
          <w:szCs w:val="28"/>
          <w:spacing w:val="-3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，占总检测批次的</w:t>
      </w:r>
      <w:r>
        <w:rPr>
          <w:rFonts w:ascii="FangSong_GB2312" w:hAnsi="FangSong_GB2312" w:eastAsia="FangSong_GB2312" w:cs="FangSong_GB2312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78.69%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。</w:t>
      </w:r>
    </w:p>
    <w:p>
      <w:pPr>
        <w:ind w:left="541"/>
        <w:spacing w:before="26" w:line="21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5.2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灰分</w:t>
      </w:r>
    </w:p>
    <w:p>
      <w:pPr>
        <w:ind w:left="542"/>
        <w:spacing w:before="237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项目组制订标准检测：按照《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GB 5009.4-2016 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食品安全国家标准</w:t>
      </w:r>
    </w:p>
    <w:p>
      <w:pPr>
        <w:ind w:left="116" w:right="107" w:firstLine="6"/>
        <w:spacing w:before="237" w:line="367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食品中灰分的测定》对</w:t>
      </w:r>
      <w:r>
        <w:rPr>
          <w:rFonts w:ascii="FangSong_GB2312" w:hAnsi="FangSong_GB2312" w:eastAsia="FangSong_GB2312" w:cs="FangSong_GB2312"/>
          <w:sz w:val="28"/>
          <w:szCs w:val="28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122</w:t>
      </w:r>
      <w:r>
        <w:rPr>
          <w:rFonts w:ascii="Times New Roman" w:hAnsi="Times New Roman" w:eastAsia="Times New Roman" w:cs="Times New Roman"/>
          <w:sz w:val="28"/>
          <w:szCs w:val="28"/>
          <w:spacing w:val="1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批次的灵芝样品进行检测，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灰分检测结果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最大值</w:t>
      </w:r>
      <w:r>
        <w:rPr>
          <w:rFonts w:ascii="FangSong_GB2312" w:hAnsi="FangSong_GB2312" w:eastAsia="FangSong_GB2312" w:cs="FangSong_GB2312"/>
          <w:sz w:val="28"/>
          <w:szCs w:val="28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5.2 g/100g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，最小值</w:t>
      </w:r>
      <w:r>
        <w:rPr>
          <w:rFonts w:ascii="FangSong_GB2312" w:hAnsi="FangSong_GB2312" w:eastAsia="FangSong_GB2312" w:cs="FangSong_GB2312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0.3 g/100g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，均值</w:t>
      </w:r>
      <w:r>
        <w:rPr>
          <w:rFonts w:ascii="FangSong_GB2312" w:hAnsi="FangSong_GB2312" w:eastAsia="FangSong_GB2312" w:cs="FangSong_GB2312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1.63 g/100g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，具体检测结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果见附件</w:t>
      </w:r>
      <w:r>
        <w:rPr>
          <w:rFonts w:ascii="FangSong_GB2312" w:hAnsi="FangSong_GB2312" w:eastAsia="FangSong_GB2312" w:cs="FangSong_GB2312"/>
          <w:sz w:val="28"/>
          <w:szCs w:val="28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4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。样品涵盖</w:t>
      </w:r>
      <w:r>
        <w:rPr>
          <w:rFonts w:ascii="FangSong_GB2312" w:hAnsi="FangSong_GB2312" w:eastAsia="FangSong_GB2312" w:cs="FangSong_GB2312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种种植方式（代料和段木</w:t>
      </w:r>
      <w:r>
        <w:rPr>
          <w:rFonts w:ascii="FangSong_GB2312" w:hAnsi="FangSong_GB2312" w:eastAsia="FangSong_GB2312" w:cs="FangSong_GB2312"/>
          <w:sz w:val="28"/>
          <w:szCs w:val="28"/>
          <w:spacing w:val="7"/>
        </w:rPr>
        <w:t>），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其具体分布情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况见表</w:t>
      </w:r>
      <w:r>
        <w:rPr>
          <w:rFonts w:ascii="FangSong_GB2312" w:hAnsi="FangSong_GB2312" w:eastAsia="FangSong_GB2312" w:cs="FangSong_GB2312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。</w:t>
      </w:r>
    </w:p>
    <w:p>
      <w:pPr>
        <w:ind w:left="3038"/>
        <w:spacing w:line="213" w:lineRule="auto"/>
        <w:rPr>
          <w:rFonts w:ascii="FangSong_GB2312" w:hAnsi="FangSong_GB2312" w:eastAsia="FangSong_GB2312" w:cs="FangSong_GB2312"/>
          <w:sz w:val="24"/>
          <w:szCs w:val="24"/>
        </w:rPr>
      </w:pPr>
      <w:r>
        <w:rPr>
          <w:rFonts w:ascii="FangSong_GB2312" w:hAnsi="FangSong_GB2312" w:eastAsia="FangSong_GB2312" w:cs="FangSong_GB2312"/>
          <w:sz w:val="24"/>
          <w:szCs w:val="24"/>
          <w:spacing w:val="-3"/>
        </w:rPr>
        <w:t>表</w:t>
      </w:r>
      <w:r>
        <w:rPr>
          <w:rFonts w:ascii="FangSong_GB2312" w:hAnsi="FangSong_GB2312" w:eastAsia="FangSong_GB2312" w:cs="FangSong_GB2312"/>
          <w:sz w:val="24"/>
          <w:szCs w:val="24"/>
          <w:spacing w:val="-36"/>
        </w:rPr>
        <w:t xml:space="preserve"> </w:t>
      </w:r>
      <w:r>
        <w:rPr>
          <w:rFonts w:ascii="FangSong_GB2312" w:hAnsi="FangSong_GB2312" w:eastAsia="FangSong_GB2312" w:cs="FangSong_GB2312"/>
          <w:sz w:val="24"/>
          <w:szCs w:val="24"/>
          <w:spacing w:val="-3"/>
        </w:rPr>
        <w:t>2</w:t>
      </w:r>
      <w:r>
        <w:rPr>
          <w:rFonts w:ascii="FangSong_GB2312" w:hAnsi="FangSong_GB2312" w:eastAsia="FangSong_GB2312" w:cs="FangSong_GB2312"/>
          <w:sz w:val="24"/>
          <w:szCs w:val="24"/>
          <w:spacing w:val="-3"/>
        </w:rPr>
        <w:t xml:space="preserve"> </w:t>
      </w:r>
      <w:r>
        <w:rPr>
          <w:rFonts w:ascii="FangSong_GB2312" w:hAnsi="FangSong_GB2312" w:eastAsia="FangSong_GB2312" w:cs="FangSong_GB2312"/>
          <w:sz w:val="24"/>
          <w:szCs w:val="24"/>
          <w:spacing w:val="-3"/>
        </w:rPr>
        <w:t>灰分检测结果分布</w:t>
      </w:r>
    </w:p>
    <w:p>
      <w:pPr>
        <w:spacing w:line="213" w:lineRule="auto"/>
        <w:sectPr>
          <w:footerReference w:type="default" r:id="rId42"/>
          <w:pgSz w:w="11906" w:h="16839"/>
          <w:pgMar w:top="400" w:right="1691" w:bottom="1360" w:left="1691" w:header="0" w:footer="1200" w:gutter="0"/>
        </w:sectPr>
        <w:rPr>
          <w:rFonts w:ascii="FangSong_GB2312" w:hAnsi="FangSong_GB2312" w:eastAsia="FangSong_GB2312" w:cs="FangSong_GB2312"/>
          <w:sz w:val="24"/>
          <w:szCs w:val="24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2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018"/>
        <w:gridCol w:w="841"/>
        <w:gridCol w:w="901"/>
        <w:gridCol w:w="901"/>
        <w:gridCol w:w="900"/>
        <w:gridCol w:w="898"/>
        <w:gridCol w:w="891"/>
        <w:gridCol w:w="1172"/>
      </w:tblGrid>
      <w:tr>
        <w:trPr>
          <w:trHeight w:val="323" w:hRule="atLeast"/>
        </w:trPr>
        <w:tc>
          <w:tcPr>
            <w:tcW w:w="201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right="4"/>
              <w:spacing w:before="42" w:line="208" w:lineRule="auto"/>
              <w:jc w:val="right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2"/>
              </w:rPr>
              <w:t>检测值（g/100g）</w:t>
            </w:r>
          </w:p>
        </w:tc>
        <w:tc>
          <w:tcPr>
            <w:tcW w:w="84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17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4"/>
              </w:rPr>
              <w:t>0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4"/>
              </w:rPr>
              <w:t>~</w:t>
            </w:r>
          </w:p>
        </w:tc>
        <w:tc>
          <w:tcPr>
            <w:tcW w:w="90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75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3"/>
              </w:rPr>
              <w:t>1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3"/>
              </w:rPr>
              <w:t>~</w:t>
            </w:r>
          </w:p>
        </w:tc>
        <w:tc>
          <w:tcPr>
            <w:tcW w:w="90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68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0"/>
              </w:rPr>
              <w:t>2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0"/>
              </w:rPr>
              <w:t>~</w:t>
            </w:r>
          </w:p>
        </w:tc>
        <w:tc>
          <w:tcPr>
            <w:tcW w:w="900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76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5"/>
              </w:rPr>
              <w:t>3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5"/>
              </w:rPr>
              <w:t>~</w:t>
            </w:r>
          </w:p>
        </w:tc>
        <w:tc>
          <w:tcPr>
            <w:tcW w:w="89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66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4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~</w:t>
            </w:r>
          </w:p>
        </w:tc>
        <w:tc>
          <w:tcPr>
            <w:tcW w:w="89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72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>5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>~</w:t>
            </w:r>
          </w:p>
        </w:tc>
        <w:tc>
          <w:tcPr>
            <w:tcW w:w="117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282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合计</w:t>
            </w:r>
          </w:p>
        </w:tc>
      </w:tr>
      <w:tr>
        <w:trPr>
          <w:trHeight w:val="306" w:hRule="atLeast"/>
        </w:trPr>
        <w:tc>
          <w:tcPr>
            <w:tcW w:w="2018" w:type="dxa"/>
            <w:vAlign w:val="top"/>
            <w:tcBorders>
              <w:top w:val="single" w:color="000000" w:sz="6" w:space="0"/>
            </w:tcBorders>
          </w:tcPr>
          <w:p>
            <w:pPr>
              <w:ind w:left="120"/>
              <w:spacing w:before="35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4"/>
              </w:rPr>
              <w:t>样品个数</w:t>
            </w:r>
          </w:p>
        </w:tc>
        <w:tc>
          <w:tcPr>
            <w:tcW w:w="841" w:type="dxa"/>
            <w:vAlign w:val="top"/>
            <w:tcBorders>
              <w:top w:val="single" w:color="000000" w:sz="6" w:space="0"/>
            </w:tcBorders>
          </w:tcPr>
          <w:p>
            <w:pPr>
              <w:ind w:left="110"/>
              <w:spacing w:before="35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0"/>
              </w:rPr>
              <w:t>24</w:t>
            </w:r>
          </w:p>
        </w:tc>
        <w:tc>
          <w:tcPr>
            <w:tcW w:w="901" w:type="dxa"/>
            <w:vAlign w:val="top"/>
            <w:tcBorders>
              <w:top w:val="single" w:color="000000" w:sz="6" w:space="0"/>
            </w:tcBorders>
          </w:tcPr>
          <w:p>
            <w:pPr>
              <w:ind w:left="171"/>
              <w:spacing w:before="35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>64</w:t>
            </w:r>
          </w:p>
        </w:tc>
        <w:tc>
          <w:tcPr>
            <w:tcW w:w="901" w:type="dxa"/>
            <w:vAlign w:val="top"/>
            <w:tcBorders>
              <w:top w:val="single" w:color="000000" w:sz="6" w:space="0"/>
            </w:tcBorders>
          </w:tcPr>
          <w:p>
            <w:pPr>
              <w:ind w:left="168"/>
              <w:spacing w:before="35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0"/>
              </w:rPr>
              <w:t>24</w:t>
            </w:r>
          </w:p>
        </w:tc>
        <w:tc>
          <w:tcPr>
            <w:tcW w:w="900" w:type="dxa"/>
            <w:vAlign w:val="top"/>
            <w:tcBorders>
              <w:top w:val="single" w:color="000000" w:sz="6" w:space="0"/>
            </w:tcBorders>
          </w:tcPr>
          <w:p>
            <w:pPr>
              <w:ind w:left="170"/>
              <w:spacing w:before="35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</w:rPr>
              <w:t>5</w:t>
            </w:r>
          </w:p>
        </w:tc>
        <w:tc>
          <w:tcPr>
            <w:tcW w:w="898" w:type="dxa"/>
            <w:vAlign w:val="top"/>
            <w:tcBorders>
              <w:top w:val="single" w:color="000000" w:sz="6" w:space="0"/>
            </w:tcBorders>
          </w:tcPr>
          <w:p>
            <w:pPr>
              <w:ind w:left="166"/>
              <w:spacing w:before="35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</w:rPr>
              <w:t>4</w:t>
            </w:r>
          </w:p>
        </w:tc>
        <w:tc>
          <w:tcPr>
            <w:tcW w:w="891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35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</w:rPr>
              <w:t>1</w:t>
            </w:r>
          </w:p>
        </w:tc>
        <w:tc>
          <w:tcPr>
            <w:tcW w:w="1172" w:type="dxa"/>
            <w:vAlign w:val="top"/>
            <w:tcBorders>
              <w:top w:val="single" w:color="000000" w:sz="6" w:space="0"/>
            </w:tcBorders>
          </w:tcPr>
          <w:p>
            <w:pPr>
              <w:ind w:left="294"/>
              <w:spacing w:before="35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122</w:t>
            </w:r>
          </w:p>
        </w:tc>
      </w:tr>
      <w:tr>
        <w:trPr>
          <w:trHeight w:val="303" w:hRule="atLeast"/>
        </w:trPr>
        <w:tc>
          <w:tcPr>
            <w:tcW w:w="2018" w:type="dxa"/>
            <w:vAlign w:val="top"/>
          </w:tcPr>
          <w:p>
            <w:pPr>
              <w:ind w:left="127"/>
              <w:spacing w:before="42" w:line="193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>百分比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>(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>%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2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>)</w:t>
            </w:r>
          </w:p>
        </w:tc>
        <w:tc>
          <w:tcPr>
            <w:tcW w:w="841" w:type="dxa"/>
            <w:vAlign w:val="top"/>
          </w:tcPr>
          <w:p>
            <w:pPr>
              <w:ind w:left="116"/>
              <w:spacing w:before="42" w:line="193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19.67</w:t>
            </w:r>
          </w:p>
        </w:tc>
        <w:tc>
          <w:tcPr>
            <w:tcW w:w="901" w:type="dxa"/>
            <w:vAlign w:val="top"/>
          </w:tcPr>
          <w:p>
            <w:pPr>
              <w:ind w:left="172"/>
              <w:spacing w:before="42" w:line="193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52.46</w:t>
            </w:r>
          </w:p>
        </w:tc>
        <w:tc>
          <w:tcPr>
            <w:tcW w:w="901" w:type="dxa"/>
            <w:vAlign w:val="top"/>
          </w:tcPr>
          <w:p>
            <w:pPr>
              <w:ind w:left="174"/>
              <w:spacing w:before="42" w:line="193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19.67</w:t>
            </w:r>
          </w:p>
        </w:tc>
        <w:tc>
          <w:tcPr>
            <w:tcW w:w="900" w:type="dxa"/>
            <w:vAlign w:val="top"/>
          </w:tcPr>
          <w:p>
            <w:pPr>
              <w:ind w:left="166"/>
              <w:spacing w:before="42" w:line="193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4.10</w:t>
            </w:r>
          </w:p>
        </w:tc>
        <w:tc>
          <w:tcPr>
            <w:tcW w:w="898" w:type="dxa"/>
            <w:vAlign w:val="top"/>
          </w:tcPr>
          <w:p>
            <w:pPr>
              <w:ind w:left="176"/>
              <w:spacing w:before="42" w:line="193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8"/>
              </w:rPr>
              <w:t>3.28</w:t>
            </w:r>
          </w:p>
        </w:tc>
        <w:tc>
          <w:tcPr>
            <w:tcW w:w="891" w:type="dxa"/>
            <w:vAlign w:val="top"/>
          </w:tcPr>
          <w:p>
            <w:pPr>
              <w:ind w:left="176"/>
              <w:spacing w:before="42" w:line="193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0.82</w:t>
            </w:r>
          </w:p>
        </w:tc>
        <w:tc>
          <w:tcPr>
            <w:tcW w:w="1172" w:type="dxa"/>
            <w:vAlign w:val="top"/>
          </w:tcPr>
          <w:p>
            <w:pPr>
              <w:ind w:left="294"/>
              <w:spacing w:before="42" w:line="193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100</w:t>
            </w:r>
          </w:p>
        </w:tc>
      </w:tr>
      <w:tr>
        <w:trPr>
          <w:trHeight w:val="330" w:hRule="atLeast"/>
        </w:trPr>
        <w:tc>
          <w:tcPr>
            <w:tcW w:w="2018" w:type="dxa"/>
            <w:vAlign w:val="top"/>
            <w:tcBorders>
              <w:bottom w:val="single" w:color="000000" w:sz="6" w:space="0"/>
            </w:tcBorders>
          </w:tcPr>
          <w:p>
            <w:pPr>
              <w:ind w:left="129"/>
              <w:spacing w:before="50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累计百分比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(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%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)</w:t>
            </w:r>
          </w:p>
        </w:tc>
        <w:tc>
          <w:tcPr>
            <w:tcW w:w="841" w:type="dxa"/>
            <w:vAlign w:val="top"/>
            <w:tcBorders>
              <w:bottom w:val="single" w:color="000000" w:sz="6" w:space="0"/>
            </w:tcBorders>
          </w:tcPr>
          <w:p>
            <w:pPr>
              <w:ind w:left="116"/>
              <w:spacing w:before="50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19.67</w:t>
            </w:r>
          </w:p>
        </w:tc>
        <w:tc>
          <w:tcPr>
            <w:tcW w:w="901" w:type="dxa"/>
            <w:vAlign w:val="top"/>
            <w:tcBorders>
              <w:bottom w:val="single" w:color="000000" w:sz="6" w:space="0"/>
            </w:tcBorders>
          </w:tcPr>
          <w:p>
            <w:pPr>
              <w:ind w:left="171"/>
              <w:spacing w:before="50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72.13</w:t>
            </w:r>
          </w:p>
        </w:tc>
        <w:tc>
          <w:tcPr>
            <w:tcW w:w="901" w:type="dxa"/>
            <w:vAlign w:val="top"/>
            <w:tcBorders>
              <w:bottom w:val="single" w:color="000000" w:sz="6" w:space="0"/>
            </w:tcBorders>
          </w:tcPr>
          <w:p>
            <w:pPr>
              <w:ind w:left="170"/>
              <w:spacing w:before="50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91.80</w:t>
            </w:r>
          </w:p>
        </w:tc>
        <w:tc>
          <w:tcPr>
            <w:tcW w:w="900" w:type="dxa"/>
            <w:vAlign w:val="top"/>
            <w:tcBorders>
              <w:bottom w:val="single" w:color="000000" w:sz="6" w:space="0"/>
            </w:tcBorders>
          </w:tcPr>
          <w:p>
            <w:pPr>
              <w:ind w:left="169"/>
              <w:spacing w:before="50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95.90</w:t>
            </w:r>
          </w:p>
        </w:tc>
        <w:tc>
          <w:tcPr>
            <w:tcW w:w="898" w:type="dxa"/>
            <w:vAlign w:val="top"/>
            <w:tcBorders>
              <w:bottom w:val="single" w:color="000000" w:sz="6" w:space="0"/>
            </w:tcBorders>
          </w:tcPr>
          <w:p>
            <w:pPr>
              <w:ind w:left="169"/>
              <w:spacing w:before="50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99.18</w:t>
            </w:r>
          </w:p>
        </w:tc>
        <w:tc>
          <w:tcPr>
            <w:tcW w:w="891" w:type="dxa"/>
            <w:vAlign w:val="top"/>
            <w:tcBorders>
              <w:bottom w:val="single" w:color="000000" w:sz="6" w:space="0"/>
            </w:tcBorders>
          </w:tcPr>
          <w:p>
            <w:pPr>
              <w:ind w:left="175"/>
              <w:spacing w:before="50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100</w:t>
            </w:r>
          </w:p>
        </w:tc>
        <w:tc>
          <w:tcPr>
            <w:tcW w:w="1172" w:type="dxa"/>
            <w:vAlign w:val="top"/>
            <w:tcBorders>
              <w:bottom w:val="single" w:color="000000" w:sz="6" w:space="0"/>
            </w:tcBorders>
          </w:tcPr>
          <w:p>
            <w:pPr>
              <w:ind w:left="294"/>
              <w:spacing w:before="50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100</w:t>
            </w:r>
          </w:p>
        </w:tc>
      </w:tr>
    </w:tbl>
    <w:p>
      <w:pPr>
        <w:ind w:left="536"/>
        <w:spacing w:before="210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24"/>
        </w:rPr>
        <w:t>标准限量值的制定</w:t>
      </w:r>
      <w:r>
        <w:rPr>
          <w:rFonts w:ascii="FangSong_GB2312" w:hAnsi="FangSong_GB2312" w:eastAsia="FangSong_GB2312" w:cs="FangSong_GB2312"/>
          <w:sz w:val="28"/>
          <w:szCs w:val="28"/>
          <w:spacing w:val="-7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24"/>
        </w:rPr>
        <w:t>：</w:t>
      </w:r>
      <w:r>
        <w:rPr>
          <w:rFonts w:ascii="FangSong_GB2312" w:hAnsi="FangSong_GB2312" w:eastAsia="FangSong_GB2312" w:cs="FangSong_GB2312"/>
          <w:sz w:val="28"/>
          <w:szCs w:val="28"/>
          <w:spacing w:val="-6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24"/>
        </w:rPr>
        <w:t>中国药典</w:t>
      </w:r>
      <w:r>
        <w:rPr>
          <w:rFonts w:ascii="FangSong_GB2312" w:hAnsi="FangSong_GB2312" w:eastAsia="FangSong_GB2312" w:cs="FangSong_GB2312"/>
          <w:sz w:val="28"/>
          <w:szCs w:val="28"/>
          <w:spacing w:val="-7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24"/>
        </w:rPr>
        <w:t>、</w:t>
      </w:r>
      <w:r>
        <w:rPr>
          <w:rFonts w:ascii="FangSong_GB2312" w:hAnsi="FangSong_GB2312" w:eastAsia="FangSong_GB2312" w:cs="FangSong_GB2312"/>
          <w:sz w:val="28"/>
          <w:szCs w:val="28"/>
          <w:spacing w:val="-5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24"/>
        </w:rPr>
        <w:t>山东省食品安全</w:t>
      </w:r>
      <w:r>
        <w:rPr>
          <w:rFonts w:ascii="FangSong_GB2312" w:hAnsi="FangSong_GB2312" w:eastAsia="FangSong_GB2312" w:cs="FangSong_GB2312"/>
          <w:sz w:val="28"/>
          <w:szCs w:val="28"/>
          <w:spacing w:val="23"/>
        </w:rPr>
        <w:t>地方标准</w:t>
      </w:r>
    </w:p>
    <w:p>
      <w:pPr>
        <w:ind w:left="120" w:right="138" w:hanging="12"/>
        <w:spacing w:before="234" w:line="367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（</w:t>
      </w:r>
      <w:r>
        <w:rPr>
          <w:rFonts w:ascii="Times New Roman" w:hAnsi="Times New Roman" w:eastAsia="Times New Roman" w:cs="Times New Roman"/>
          <w:sz w:val="28"/>
          <w:szCs w:val="28"/>
        </w:rPr>
        <w:t>DBS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37/003-2024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）中规定干制灵芝合格品灰分≤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3.2 g/100g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；福建</w:t>
      </w:r>
      <w:r>
        <w:rPr>
          <w:rFonts w:ascii="FangSong_GB2312" w:hAnsi="FangSong_GB2312" w:eastAsia="FangSong_GB2312" w:cs="FangSong_GB2312"/>
          <w:sz w:val="28"/>
          <w:szCs w:val="28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省食品安全地方标准（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DBS35/008-2024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）中规定，干制灵芝合格品灰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分≤</w:t>
      </w:r>
      <w:r>
        <w:rPr>
          <w:rFonts w:ascii="Times New Roman" w:hAnsi="Times New Roman" w:eastAsia="Times New Roman" w:cs="Times New Roman"/>
          <w:sz w:val="28"/>
          <w:szCs w:val="28"/>
        </w:rPr>
        <w:t>3.0 g/100g</w:t>
      </w:r>
      <w:r>
        <w:rPr>
          <w:rFonts w:ascii="FangSong_GB2312" w:hAnsi="FangSong_GB2312" w:eastAsia="FangSong_GB2312" w:cs="FangSong_GB2312"/>
          <w:sz w:val="28"/>
          <w:szCs w:val="28"/>
        </w:rPr>
        <w:t>；贵州省食品安全地方食品标准（</w:t>
      </w:r>
      <w:r>
        <w:rPr>
          <w:rFonts w:ascii="Times New Roman" w:hAnsi="Times New Roman" w:eastAsia="Times New Roman" w:cs="Times New Roman"/>
          <w:sz w:val="28"/>
          <w:szCs w:val="28"/>
        </w:rPr>
        <w:t>DBS52/ 057-2022</w:t>
      </w:r>
      <w:r>
        <w:rPr>
          <w:rFonts w:ascii="FangSong_GB2312" w:hAnsi="FangSong_GB2312" w:eastAsia="FangSong_GB2312" w:cs="FangSong_GB2312"/>
          <w:sz w:val="28"/>
          <w:szCs w:val="28"/>
        </w:rPr>
        <w:t>）</w:t>
      </w:r>
      <w:r>
        <w:rPr>
          <w:rFonts w:ascii="FangSong_GB2312" w:hAnsi="FangSong_GB2312" w:eastAsia="FangSong_GB2312" w:cs="FangSong_GB2312"/>
          <w:sz w:val="28"/>
          <w:szCs w:val="28"/>
          <w:spacing w:val="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中规定，干制灵芝合格品灰分≤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5.0 g/100g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。</w:t>
      </w:r>
    </w:p>
    <w:p>
      <w:pPr>
        <w:ind w:left="690"/>
        <w:spacing w:before="173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综合参考灵芝干制品灰分的限量标准，并结合项目组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前期检测数</w:t>
      </w:r>
    </w:p>
    <w:p>
      <w:pPr>
        <w:ind w:left="116" w:right="57" w:firstLine="5"/>
        <w:spacing w:before="232" w:line="364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据和灵芝的实际情况，本标准中限定了合格品中灰分应≤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3.0 g/100g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。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该限量严于中国药典中的灰分限量（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3.2 g/100g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）。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122</w:t>
      </w:r>
      <w:r>
        <w:rPr>
          <w:rFonts w:ascii="Times New Roman" w:hAnsi="Times New Roman" w:eastAsia="Times New Roman" w:cs="Times New Roman"/>
          <w:sz w:val="28"/>
          <w:szCs w:val="28"/>
          <w:spacing w:val="3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批项目制标检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测样品中，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112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批灰分均≤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3.0 g/100g</w:t>
      </w:r>
      <w:r>
        <w:rPr>
          <w:rFonts w:ascii="Times New Roman" w:hAnsi="Times New Roman" w:eastAsia="Times New Roman" w:cs="Times New Roman"/>
          <w:sz w:val="28"/>
          <w:szCs w:val="28"/>
          <w:spacing w:val="-3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，</w:t>
      </w:r>
      <w:r>
        <w:rPr>
          <w:rFonts w:ascii="FangSong_GB2312" w:hAnsi="FangSong_GB2312" w:eastAsia="FangSong_GB2312" w:cs="FangSong_GB2312"/>
          <w:sz w:val="28"/>
          <w:szCs w:val="28"/>
          <w:spacing w:val="-8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占总检测批次的</w:t>
      </w:r>
      <w:r>
        <w:rPr>
          <w:rFonts w:ascii="FangSong_GB2312" w:hAnsi="FangSong_GB2312" w:eastAsia="FangSong_GB2312" w:cs="FangSong_GB2312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9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1.80%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。</w:t>
      </w:r>
    </w:p>
    <w:p>
      <w:pPr>
        <w:ind w:left="680"/>
        <w:spacing w:before="25" w:line="215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5.3</w:t>
      </w:r>
      <w:r>
        <w:rPr>
          <w:rFonts w:ascii="Times New Roman" w:hAnsi="Times New Roman" w:eastAsia="Times New Roman" w:cs="Times New Roman"/>
          <w:sz w:val="28"/>
          <w:szCs w:val="28"/>
          <w:spacing w:val="2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>多糖</w:t>
      </w:r>
    </w:p>
    <w:p>
      <w:pPr>
        <w:spacing w:before="236" w:line="214" w:lineRule="auto"/>
        <w:outlineLvl w:val="2"/>
        <w:jc w:val="right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项目组制订标准检测：按照《中华人民共和国药典》（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2020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年版）</w:t>
      </w:r>
    </w:p>
    <w:p>
      <w:pPr>
        <w:ind w:left="115" w:right="138" w:firstLine="15"/>
        <w:spacing w:before="237" w:line="367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灵芝项下多糖的检测方法对</w:t>
      </w:r>
      <w:r>
        <w:rPr>
          <w:rFonts w:ascii="FangSong_GB2312" w:hAnsi="FangSong_GB2312" w:eastAsia="FangSong_GB2312" w:cs="FangSong_GB2312"/>
          <w:sz w:val="28"/>
          <w:szCs w:val="28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122</w:t>
      </w:r>
      <w:r>
        <w:rPr>
          <w:rFonts w:ascii="Times New Roman" w:hAnsi="Times New Roman" w:eastAsia="Times New Roman" w:cs="Times New Roman"/>
          <w:sz w:val="28"/>
          <w:szCs w:val="28"/>
          <w:spacing w:val="1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批次的灵芝样品进行检测，多糖检测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结果最大值</w:t>
      </w:r>
      <w:r>
        <w:rPr>
          <w:rFonts w:ascii="FangSong_GB2312" w:hAnsi="FangSong_GB2312" w:eastAsia="FangSong_GB2312" w:cs="FangSong_GB2312"/>
          <w:sz w:val="28"/>
          <w:szCs w:val="28"/>
          <w:spacing w:val="-6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2.95 g/100g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，最小值</w:t>
      </w:r>
      <w:r>
        <w:rPr>
          <w:rFonts w:ascii="FangSong_GB2312" w:hAnsi="FangSong_GB2312" w:eastAsia="FangSong_GB2312" w:cs="FangSong_GB2312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.72 g/100g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，均值</w:t>
      </w:r>
      <w:r>
        <w:rPr>
          <w:rFonts w:ascii="FangSong_GB2312" w:hAnsi="FangSong_GB2312" w:eastAsia="FangSong_GB2312" w:cs="FangSong_GB2312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1.27 g/100g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，具体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检测结果见附件</w:t>
      </w:r>
      <w:r>
        <w:rPr>
          <w:rFonts w:ascii="FangSong_GB2312" w:hAnsi="FangSong_GB2312" w:eastAsia="FangSong_GB2312" w:cs="FangSong_GB2312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4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。样品涵盖</w:t>
      </w:r>
      <w:r>
        <w:rPr>
          <w:rFonts w:ascii="FangSong_GB2312" w:hAnsi="FangSong_GB2312" w:eastAsia="FangSong_GB2312" w:cs="FangSong_GB2312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种种植方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式（代料和段木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），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其具体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分布情况见表</w:t>
      </w:r>
      <w:r>
        <w:rPr>
          <w:rFonts w:ascii="FangSong_GB2312" w:hAnsi="FangSong_GB2312" w:eastAsia="FangSong_GB2312" w:cs="FangSong_GB2312"/>
          <w:sz w:val="28"/>
          <w:szCs w:val="28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。</w:t>
      </w:r>
    </w:p>
    <w:p>
      <w:pPr>
        <w:ind w:left="3038"/>
        <w:spacing w:before="1" w:line="213" w:lineRule="auto"/>
        <w:rPr>
          <w:rFonts w:ascii="FangSong_GB2312" w:hAnsi="FangSong_GB2312" w:eastAsia="FangSong_GB2312" w:cs="FangSong_GB2312"/>
          <w:sz w:val="24"/>
          <w:szCs w:val="24"/>
        </w:rPr>
      </w:pPr>
      <w:r>
        <w:rPr>
          <w:rFonts w:ascii="FangSong_GB2312" w:hAnsi="FangSong_GB2312" w:eastAsia="FangSong_GB2312" w:cs="FangSong_GB2312"/>
          <w:sz w:val="24"/>
          <w:szCs w:val="24"/>
          <w:spacing w:val="-5"/>
        </w:rPr>
        <w:t>表</w:t>
      </w:r>
      <w:r>
        <w:rPr>
          <w:rFonts w:ascii="FangSong_GB2312" w:hAnsi="FangSong_GB2312" w:eastAsia="FangSong_GB2312" w:cs="FangSong_GB2312"/>
          <w:sz w:val="24"/>
          <w:szCs w:val="24"/>
          <w:spacing w:val="-41"/>
        </w:rPr>
        <w:t xml:space="preserve"> </w:t>
      </w:r>
      <w:r>
        <w:rPr>
          <w:rFonts w:ascii="FangSong_GB2312" w:hAnsi="FangSong_GB2312" w:eastAsia="FangSong_GB2312" w:cs="FangSong_GB2312"/>
          <w:sz w:val="24"/>
          <w:szCs w:val="24"/>
          <w:spacing w:val="-5"/>
        </w:rPr>
        <w:t>2</w:t>
      </w:r>
      <w:r>
        <w:rPr>
          <w:rFonts w:ascii="FangSong_GB2312" w:hAnsi="FangSong_GB2312" w:eastAsia="FangSong_GB2312" w:cs="FangSong_GB2312"/>
          <w:sz w:val="24"/>
          <w:szCs w:val="24"/>
          <w:spacing w:val="22"/>
        </w:rPr>
        <w:t xml:space="preserve"> </w:t>
      </w:r>
      <w:r>
        <w:rPr>
          <w:rFonts w:ascii="FangSong_GB2312" w:hAnsi="FangSong_GB2312" w:eastAsia="FangSong_GB2312" w:cs="FangSong_GB2312"/>
          <w:sz w:val="24"/>
          <w:szCs w:val="24"/>
          <w:spacing w:val="-5"/>
        </w:rPr>
        <w:t>多糖检测结果分布</w:t>
      </w:r>
    </w:p>
    <w:p>
      <w:pPr>
        <w:spacing w:line="197" w:lineRule="exact"/>
        <w:rPr/>
      </w:pPr>
      <w:r/>
    </w:p>
    <w:tbl>
      <w:tblPr>
        <w:tblStyle w:val="TableNormal"/>
        <w:tblW w:w="8521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016"/>
        <w:gridCol w:w="685"/>
        <w:gridCol w:w="1092"/>
        <w:gridCol w:w="875"/>
        <w:gridCol w:w="947"/>
        <w:gridCol w:w="873"/>
        <w:gridCol w:w="979"/>
        <w:gridCol w:w="1054"/>
      </w:tblGrid>
      <w:tr>
        <w:trPr>
          <w:trHeight w:val="323" w:hRule="atLeast"/>
        </w:trPr>
        <w:tc>
          <w:tcPr>
            <w:tcW w:w="2016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right="14"/>
              <w:spacing w:before="42" w:line="208" w:lineRule="auto"/>
              <w:jc w:val="right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3"/>
              </w:rPr>
              <w:t>检测值（g/100g）</w:t>
            </w:r>
          </w:p>
        </w:tc>
        <w:tc>
          <w:tcPr>
            <w:tcW w:w="685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07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4"/>
              </w:rPr>
              <w:t>0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4"/>
              </w:rPr>
              <w:t>~</w:t>
            </w:r>
          </w:p>
        </w:tc>
        <w:tc>
          <w:tcPr>
            <w:tcW w:w="1092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310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6"/>
              </w:rPr>
              <w:t>0.45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5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6"/>
              </w:rPr>
              <w:t>~</w:t>
            </w:r>
          </w:p>
        </w:tc>
        <w:tc>
          <w:tcPr>
            <w:tcW w:w="875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54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0.9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~</w:t>
            </w:r>
          </w:p>
        </w:tc>
        <w:tc>
          <w:tcPr>
            <w:tcW w:w="947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66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1.35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~</w:t>
            </w:r>
          </w:p>
        </w:tc>
        <w:tc>
          <w:tcPr>
            <w:tcW w:w="87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55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1.8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5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~</w:t>
            </w:r>
          </w:p>
        </w:tc>
        <w:tc>
          <w:tcPr>
            <w:tcW w:w="979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64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4"/>
              </w:rPr>
              <w:t>2.25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4"/>
              </w:rPr>
              <w:t>~</w:t>
            </w:r>
          </w:p>
        </w:tc>
        <w:tc>
          <w:tcPr>
            <w:tcW w:w="1054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77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合计</w:t>
            </w:r>
          </w:p>
        </w:tc>
      </w:tr>
      <w:tr>
        <w:trPr>
          <w:trHeight w:val="306" w:hRule="atLeast"/>
        </w:trPr>
        <w:tc>
          <w:tcPr>
            <w:tcW w:w="2016" w:type="dxa"/>
            <w:vAlign w:val="top"/>
            <w:tcBorders>
              <w:top w:val="single" w:color="000000" w:sz="6" w:space="0"/>
            </w:tcBorders>
          </w:tcPr>
          <w:p>
            <w:pPr>
              <w:ind w:left="120"/>
              <w:spacing w:before="36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4"/>
              </w:rPr>
              <w:t>样品个数</w:t>
            </w:r>
          </w:p>
        </w:tc>
        <w:tc>
          <w:tcPr>
            <w:tcW w:w="685" w:type="dxa"/>
            <w:vAlign w:val="top"/>
            <w:tcBorders>
              <w:top w:val="single" w:color="000000" w:sz="6" w:space="0"/>
            </w:tcBorders>
          </w:tcPr>
          <w:p>
            <w:pPr>
              <w:ind w:left="107"/>
              <w:spacing w:before="36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</w:rPr>
              <w:t>0</w:t>
            </w:r>
          </w:p>
        </w:tc>
        <w:tc>
          <w:tcPr>
            <w:tcW w:w="1092" w:type="dxa"/>
            <w:vAlign w:val="top"/>
            <w:tcBorders>
              <w:top w:val="single" w:color="000000" w:sz="6" w:space="0"/>
            </w:tcBorders>
          </w:tcPr>
          <w:p>
            <w:pPr>
              <w:ind w:left="305"/>
              <w:spacing w:before="36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</w:rPr>
              <w:t>8</w:t>
            </w:r>
          </w:p>
        </w:tc>
        <w:tc>
          <w:tcPr>
            <w:tcW w:w="875" w:type="dxa"/>
            <w:vAlign w:val="top"/>
            <w:tcBorders>
              <w:top w:val="single" w:color="000000" w:sz="6" w:space="0"/>
            </w:tcBorders>
          </w:tcPr>
          <w:p>
            <w:pPr>
              <w:ind w:left="149"/>
              <w:spacing w:before="36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>76</w:t>
            </w:r>
          </w:p>
        </w:tc>
        <w:tc>
          <w:tcPr>
            <w:tcW w:w="947" w:type="dxa"/>
            <w:vAlign w:val="top"/>
            <w:tcBorders>
              <w:top w:val="single" w:color="000000" w:sz="6" w:space="0"/>
            </w:tcBorders>
          </w:tcPr>
          <w:p>
            <w:pPr>
              <w:ind w:left="160"/>
              <w:spacing w:before="36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0"/>
              </w:rPr>
              <w:t>29</w:t>
            </w:r>
          </w:p>
        </w:tc>
        <w:tc>
          <w:tcPr>
            <w:tcW w:w="873" w:type="dxa"/>
            <w:vAlign w:val="top"/>
            <w:tcBorders>
              <w:top w:val="single" w:color="000000" w:sz="6" w:space="0"/>
            </w:tcBorders>
          </w:tcPr>
          <w:p>
            <w:pPr>
              <w:ind w:left="151"/>
              <w:spacing w:before="36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</w:rPr>
              <w:t>6</w:t>
            </w:r>
          </w:p>
        </w:tc>
        <w:tc>
          <w:tcPr>
            <w:tcW w:w="979" w:type="dxa"/>
            <w:vAlign w:val="top"/>
            <w:tcBorders>
              <w:top w:val="single" w:color="000000" w:sz="6" w:space="0"/>
            </w:tcBorders>
          </w:tcPr>
          <w:p>
            <w:pPr>
              <w:ind w:left="173"/>
              <w:spacing w:before="36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</w:rPr>
              <w:t>3</w:t>
            </w:r>
          </w:p>
        </w:tc>
        <w:tc>
          <w:tcPr>
            <w:tcW w:w="1054" w:type="dxa"/>
            <w:vAlign w:val="top"/>
            <w:tcBorders>
              <w:top w:val="single" w:color="000000" w:sz="6" w:space="0"/>
            </w:tcBorders>
          </w:tcPr>
          <w:p>
            <w:pPr>
              <w:ind w:left="189"/>
              <w:spacing w:before="36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122</w:t>
            </w:r>
          </w:p>
        </w:tc>
      </w:tr>
      <w:tr>
        <w:trPr>
          <w:trHeight w:val="304" w:hRule="atLeast"/>
        </w:trPr>
        <w:tc>
          <w:tcPr>
            <w:tcW w:w="2016" w:type="dxa"/>
            <w:vAlign w:val="top"/>
          </w:tcPr>
          <w:p>
            <w:pPr>
              <w:ind w:left="127"/>
              <w:spacing w:before="41" w:line="19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>百分比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>(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>%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2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>)</w:t>
            </w:r>
          </w:p>
        </w:tc>
        <w:tc>
          <w:tcPr>
            <w:tcW w:w="685" w:type="dxa"/>
            <w:vAlign w:val="top"/>
          </w:tcPr>
          <w:p>
            <w:pPr>
              <w:ind w:left="107"/>
              <w:spacing w:before="41" w:line="19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</w:rPr>
              <w:t>0</w:t>
            </w:r>
          </w:p>
        </w:tc>
        <w:tc>
          <w:tcPr>
            <w:tcW w:w="1092" w:type="dxa"/>
            <w:vAlign w:val="top"/>
          </w:tcPr>
          <w:p>
            <w:pPr>
              <w:ind w:left="305"/>
              <w:spacing w:before="41" w:line="19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6"/>
              </w:rPr>
              <w:t>6.56</w:t>
            </w:r>
          </w:p>
        </w:tc>
        <w:tc>
          <w:tcPr>
            <w:tcW w:w="875" w:type="dxa"/>
            <w:vAlign w:val="top"/>
          </w:tcPr>
          <w:p>
            <w:pPr>
              <w:ind w:left="149"/>
              <w:spacing w:before="41" w:line="19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62.30</w:t>
            </w:r>
          </w:p>
        </w:tc>
        <w:tc>
          <w:tcPr>
            <w:tcW w:w="947" w:type="dxa"/>
            <w:vAlign w:val="top"/>
          </w:tcPr>
          <w:p>
            <w:pPr>
              <w:ind w:left="160"/>
              <w:spacing w:before="41" w:line="19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4"/>
              </w:rPr>
              <w:t>23.76</w:t>
            </w:r>
          </w:p>
        </w:tc>
        <w:tc>
          <w:tcPr>
            <w:tcW w:w="873" w:type="dxa"/>
            <w:vAlign w:val="top"/>
          </w:tcPr>
          <w:p>
            <w:pPr>
              <w:ind w:left="148"/>
              <w:spacing w:before="41" w:line="19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4.92</w:t>
            </w:r>
          </w:p>
        </w:tc>
        <w:tc>
          <w:tcPr>
            <w:tcW w:w="979" w:type="dxa"/>
            <w:vAlign w:val="top"/>
          </w:tcPr>
          <w:p>
            <w:pPr>
              <w:ind w:left="164"/>
              <w:spacing w:before="41" w:line="19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2.46</w:t>
            </w:r>
          </w:p>
        </w:tc>
        <w:tc>
          <w:tcPr>
            <w:tcW w:w="1054" w:type="dxa"/>
            <w:vAlign w:val="top"/>
          </w:tcPr>
          <w:p>
            <w:pPr>
              <w:ind w:left="189"/>
              <w:spacing w:before="41" w:line="19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100</w:t>
            </w:r>
          </w:p>
        </w:tc>
      </w:tr>
      <w:tr>
        <w:trPr>
          <w:trHeight w:val="329" w:hRule="atLeast"/>
        </w:trPr>
        <w:tc>
          <w:tcPr>
            <w:tcW w:w="2016" w:type="dxa"/>
            <w:vAlign w:val="top"/>
            <w:tcBorders>
              <w:bottom w:val="single" w:color="000000" w:sz="6" w:space="0"/>
            </w:tcBorders>
          </w:tcPr>
          <w:p>
            <w:pPr>
              <w:ind w:left="129"/>
              <w:spacing w:before="49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累计百分比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(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%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)</w:t>
            </w:r>
          </w:p>
        </w:tc>
        <w:tc>
          <w:tcPr>
            <w:tcW w:w="685" w:type="dxa"/>
            <w:vAlign w:val="top"/>
            <w:tcBorders>
              <w:bottom w:val="single" w:color="000000" w:sz="6" w:space="0"/>
            </w:tcBorders>
          </w:tcPr>
          <w:p>
            <w:pPr>
              <w:ind w:left="107"/>
              <w:spacing w:before="49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</w:rPr>
              <w:t>0</w:t>
            </w:r>
          </w:p>
        </w:tc>
        <w:tc>
          <w:tcPr>
            <w:tcW w:w="1092" w:type="dxa"/>
            <w:vAlign w:val="top"/>
            <w:tcBorders>
              <w:bottom w:val="single" w:color="000000" w:sz="6" w:space="0"/>
            </w:tcBorders>
          </w:tcPr>
          <w:p>
            <w:pPr>
              <w:ind w:left="305"/>
              <w:spacing w:before="49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6"/>
              </w:rPr>
              <w:t>6.56</w:t>
            </w:r>
          </w:p>
        </w:tc>
        <w:tc>
          <w:tcPr>
            <w:tcW w:w="875" w:type="dxa"/>
            <w:vAlign w:val="top"/>
            <w:tcBorders>
              <w:bottom w:val="single" w:color="000000" w:sz="6" w:space="0"/>
            </w:tcBorders>
          </w:tcPr>
          <w:p>
            <w:pPr>
              <w:ind w:left="149"/>
              <w:spacing w:before="49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68.86</w:t>
            </w:r>
          </w:p>
        </w:tc>
        <w:tc>
          <w:tcPr>
            <w:tcW w:w="947" w:type="dxa"/>
            <w:vAlign w:val="top"/>
            <w:tcBorders>
              <w:bottom w:val="single" w:color="000000" w:sz="6" w:space="0"/>
            </w:tcBorders>
          </w:tcPr>
          <w:p>
            <w:pPr>
              <w:ind w:left="162"/>
              <w:spacing w:before="49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92.62</w:t>
            </w:r>
          </w:p>
        </w:tc>
        <w:tc>
          <w:tcPr>
            <w:tcW w:w="873" w:type="dxa"/>
            <w:vAlign w:val="top"/>
            <w:tcBorders>
              <w:bottom w:val="single" w:color="000000" w:sz="6" w:space="0"/>
            </w:tcBorders>
          </w:tcPr>
          <w:p>
            <w:pPr>
              <w:ind w:left="151"/>
              <w:spacing w:before="49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97.54</w:t>
            </w:r>
          </w:p>
        </w:tc>
        <w:tc>
          <w:tcPr>
            <w:tcW w:w="979" w:type="dxa"/>
            <w:vAlign w:val="top"/>
            <w:tcBorders>
              <w:bottom w:val="single" w:color="000000" w:sz="6" w:space="0"/>
            </w:tcBorders>
          </w:tcPr>
          <w:p>
            <w:pPr>
              <w:ind w:left="170"/>
              <w:spacing w:before="49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100</w:t>
            </w:r>
          </w:p>
        </w:tc>
        <w:tc>
          <w:tcPr>
            <w:tcW w:w="1054" w:type="dxa"/>
            <w:vAlign w:val="top"/>
            <w:tcBorders>
              <w:bottom w:val="single" w:color="000000" w:sz="6" w:space="0"/>
            </w:tcBorders>
          </w:tcPr>
          <w:p>
            <w:pPr>
              <w:ind w:left="189"/>
              <w:spacing w:before="49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100</w:t>
            </w:r>
          </w:p>
        </w:tc>
      </w:tr>
    </w:tbl>
    <w:p>
      <w:pPr>
        <w:ind w:left="536"/>
        <w:spacing w:before="209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24"/>
        </w:rPr>
        <w:t>标准限量值的制定</w:t>
      </w:r>
      <w:r>
        <w:rPr>
          <w:rFonts w:ascii="FangSong_GB2312" w:hAnsi="FangSong_GB2312" w:eastAsia="FangSong_GB2312" w:cs="FangSong_GB2312"/>
          <w:sz w:val="28"/>
          <w:szCs w:val="28"/>
          <w:spacing w:val="-7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24"/>
        </w:rPr>
        <w:t>：</w:t>
      </w:r>
      <w:r>
        <w:rPr>
          <w:rFonts w:ascii="FangSong_GB2312" w:hAnsi="FangSong_GB2312" w:eastAsia="FangSong_GB2312" w:cs="FangSong_GB2312"/>
          <w:sz w:val="28"/>
          <w:szCs w:val="28"/>
          <w:spacing w:val="-6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24"/>
        </w:rPr>
        <w:t>中国药典</w:t>
      </w:r>
      <w:r>
        <w:rPr>
          <w:rFonts w:ascii="FangSong_GB2312" w:hAnsi="FangSong_GB2312" w:eastAsia="FangSong_GB2312" w:cs="FangSong_GB2312"/>
          <w:sz w:val="28"/>
          <w:szCs w:val="28"/>
          <w:spacing w:val="-7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24"/>
        </w:rPr>
        <w:t>、</w:t>
      </w:r>
      <w:r>
        <w:rPr>
          <w:rFonts w:ascii="FangSong_GB2312" w:hAnsi="FangSong_GB2312" w:eastAsia="FangSong_GB2312" w:cs="FangSong_GB2312"/>
          <w:sz w:val="28"/>
          <w:szCs w:val="28"/>
          <w:spacing w:val="-5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24"/>
        </w:rPr>
        <w:t>山东省食品安全</w:t>
      </w:r>
      <w:r>
        <w:rPr>
          <w:rFonts w:ascii="FangSong_GB2312" w:hAnsi="FangSong_GB2312" w:eastAsia="FangSong_GB2312" w:cs="FangSong_GB2312"/>
          <w:sz w:val="28"/>
          <w:szCs w:val="28"/>
          <w:spacing w:val="23"/>
        </w:rPr>
        <w:t>地方标准</w:t>
      </w:r>
    </w:p>
    <w:p>
      <w:pPr>
        <w:ind w:left="117" w:right="137" w:hanging="9"/>
        <w:spacing w:before="236" w:line="369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1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</w:rPr>
        <w:t>DBS</w:t>
      </w:r>
      <w:r>
        <w:rPr>
          <w:rFonts w:ascii="Times New Roman" w:hAnsi="Times New Roman" w:eastAsia="Times New Roman" w:cs="Times New Roman"/>
          <w:sz w:val="28"/>
          <w:szCs w:val="28"/>
          <w:spacing w:val="11"/>
        </w:rPr>
        <w:t>37/003-2024</w:t>
      </w:r>
      <w:r>
        <w:rPr>
          <w:rFonts w:ascii="Times New Roman" w:hAnsi="Times New Roman" w:eastAsia="Times New Roman" w:cs="Times New Roman"/>
          <w:sz w:val="28"/>
          <w:szCs w:val="28"/>
          <w:spacing w:val="-3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1"/>
        </w:rPr>
        <w:t>）</w:t>
      </w:r>
      <w:r>
        <w:rPr>
          <w:rFonts w:ascii="FangSong_GB2312" w:hAnsi="FangSong_GB2312" w:eastAsia="FangSong_GB2312" w:cs="FangSong_GB2312"/>
          <w:sz w:val="28"/>
          <w:szCs w:val="28"/>
          <w:spacing w:val="-7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1"/>
        </w:rPr>
        <w:t>、贵</w:t>
      </w:r>
      <w:r>
        <w:rPr>
          <w:rFonts w:ascii="FangSong_GB2312" w:hAnsi="FangSong_GB2312" w:eastAsia="FangSong_GB2312" w:cs="FangSong_GB2312"/>
          <w:sz w:val="28"/>
          <w:szCs w:val="28"/>
          <w:spacing w:val="-8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1"/>
        </w:rPr>
        <w:t>州省食</w:t>
      </w:r>
      <w:r>
        <w:rPr>
          <w:rFonts w:ascii="FangSong_GB2312" w:hAnsi="FangSong_GB2312" w:eastAsia="FangSong_GB2312" w:cs="FangSong_GB2312"/>
          <w:sz w:val="28"/>
          <w:szCs w:val="28"/>
          <w:spacing w:val="-5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1"/>
        </w:rPr>
        <w:t>品安全地方食</w:t>
      </w:r>
      <w:r>
        <w:rPr>
          <w:rFonts w:ascii="FangSong_GB2312" w:hAnsi="FangSong_GB2312" w:eastAsia="FangSong_GB2312" w:cs="FangSong_GB2312"/>
          <w:sz w:val="28"/>
          <w:szCs w:val="28"/>
          <w:spacing w:val="-5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1"/>
        </w:rPr>
        <w:t>品标准</w:t>
      </w:r>
      <w:r>
        <w:rPr>
          <w:rFonts w:ascii="FangSong_GB2312" w:hAnsi="FangSong_GB2312" w:eastAsia="FangSong_GB2312" w:cs="FangSong_GB2312"/>
          <w:sz w:val="28"/>
          <w:szCs w:val="28"/>
          <w:spacing w:val="10"/>
        </w:rPr>
        <w:t>（</w:t>
      </w:r>
      <w:r>
        <w:rPr>
          <w:rFonts w:ascii="Times New Roman" w:hAnsi="Times New Roman" w:eastAsia="Times New Roman" w:cs="Times New Roman"/>
          <w:sz w:val="28"/>
          <w:szCs w:val="28"/>
        </w:rPr>
        <w:t>DBS</w:t>
      </w:r>
      <w:r>
        <w:rPr>
          <w:rFonts w:ascii="Times New Roman" w:hAnsi="Times New Roman" w:eastAsia="Times New Roman" w:cs="Times New Roman"/>
          <w:sz w:val="28"/>
          <w:szCs w:val="28"/>
          <w:spacing w:val="10"/>
        </w:rPr>
        <w:t>52/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4"/>
        </w:rPr>
        <w:t>057-2022</w:t>
      </w:r>
      <w:r>
        <w:rPr>
          <w:rFonts w:ascii="Times New Roman" w:hAnsi="Times New Roman" w:eastAsia="Times New Roman" w:cs="Times New Roman"/>
          <w:sz w:val="28"/>
          <w:szCs w:val="28"/>
          <w:spacing w:val="3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4"/>
        </w:rPr>
        <w:t>）</w:t>
      </w:r>
      <w:r>
        <w:rPr>
          <w:rFonts w:ascii="FangSong_GB2312" w:hAnsi="FangSong_GB2312" w:eastAsia="FangSong_GB2312" w:cs="FangSong_GB2312"/>
          <w:sz w:val="28"/>
          <w:szCs w:val="28"/>
          <w:spacing w:val="-1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4"/>
        </w:rPr>
        <w:t>、</w:t>
      </w:r>
      <w:r>
        <w:rPr>
          <w:rFonts w:ascii="FangSong_GB2312" w:hAnsi="FangSong_GB2312" w:eastAsia="FangSong_GB2312" w:cs="FangSong_GB2312"/>
          <w:sz w:val="28"/>
          <w:szCs w:val="28"/>
          <w:spacing w:val="-1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4"/>
        </w:rPr>
        <w:t>广</w:t>
      </w:r>
      <w:r>
        <w:rPr>
          <w:rFonts w:ascii="FangSong_GB2312" w:hAnsi="FangSong_GB2312" w:eastAsia="FangSong_GB2312" w:cs="FangSong_GB2312"/>
          <w:sz w:val="28"/>
          <w:szCs w:val="28"/>
          <w:spacing w:val="-1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4"/>
        </w:rPr>
        <w:t>西</w:t>
      </w:r>
      <w:r>
        <w:rPr>
          <w:rFonts w:ascii="FangSong_GB2312" w:hAnsi="FangSong_GB2312" w:eastAsia="FangSong_GB2312" w:cs="FangSong_GB2312"/>
          <w:sz w:val="28"/>
          <w:szCs w:val="28"/>
          <w:spacing w:val="-2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4"/>
        </w:rPr>
        <w:t>壮</w:t>
      </w:r>
      <w:r>
        <w:rPr>
          <w:rFonts w:ascii="FangSong_GB2312" w:hAnsi="FangSong_GB2312" w:eastAsia="FangSong_GB2312" w:cs="FangSong_GB2312"/>
          <w:sz w:val="28"/>
          <w:szCs w:val="28"/>
          <w:spacing w:val="-3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4"/>
        </w:rPr>
        <w:t>族</w:t>
      </w:r>
      <w:r>
        <w:rPr>
          <w:rFonts w:ascii="FangSong_GB2312" w:hAnsi="FangSong_GB2312" w:eastAsia="FangSong_GB2312" w:cs="FangSong_GB2312"/>
          <w:sz w:val="28"/>
          <w:szCs w:val="28"/>
          <w:spacing w:val="-1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4"/>
        </w:rPr>
        <w:t>自</w:t>
      </w:r>
      <w:r>
        <w:rPr>
          <w:rFonts w:ascii="FangSong_GB2312" w:hAnsi="FangSong_GB2312" w:eastAsia="FangSong_GB2312" w:cs="FangSong_GB2312"/>
          <w:sz w:val="28"/>
          <w:szCs w:val="28"/>
          <w:spacing w:val="-1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4"/>
        </w:rPr>
        <w:t>治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>区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>食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>品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>安</w:t>
      </w:r>
      <w:r>
        <w:rPr>
          <w:rFonts w:ascii="FangSong_GB2312" w:hAnsi="FangSong_GB2312" w:eastAsia="FangSong_GB2312" w:cs="FangSong_GB2312"/>
          <w:sz w:val="28"/>
          <w:szCs w:val="28"/>
          <w:spacing w:val="-3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>全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>地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>方</w:t>
      </w:r>
      <w:r>
        <w:rPr>
          <w:rFonts w:ascii="FangSong_GB2312" w:hAnsi="FangSong_GB2312" w:eastAsia="FangSong_GB2312" w:cs="FangSong_GB2312"/>
          <w:sz w:val="28"/>
          <w:szCs w:val="28"/>
          <w:spacing w:val="-2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>食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>品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>标</w:t>
      </w:r>
      <w:r>
        <w:rPr>
          <w:rFonts w:ascii="FangSong_GB2312" w:hAnsi="FangSong_GB2312" w:eastAsia="FangSong_GB2312" w:cs="FangSong_GB2312"/>
          <w:sz w:val="28"/>
          <w:szCs w:val="28"/>
          <w:spacing w:val="-2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>准</w:t>
      </w:r>
    </w:p>
    <w:p>
      <w:pPr>
        <w:spacing w:line="369" w:lineRule="auto"/>
        <w:sectPr>
          <w:footerReference w:type="default" r:id="rId43"/>
          <w:pgSz w:w="11906" w:h="16839"/>
          <w:pgMar w:top="400" w:right="1660" w:bottom="1362" w:left="1691" w:header="0" w:footer="1200" w:gutter="0"/>
        </w:sectPr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125" w:right="78" w:hanging="17"/>
        <w:spacing w:before="91" w:line="368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DBS45/072-2021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）及云南省食品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安全地方标准（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DBS53/036-2023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，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已废止）中规定，干制灵芝合格品多糖含量≥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0.9 g/100g</w:t>
      </w: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；福建省食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品安全地方标准（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DBS35/008-20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24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）中规定，干制赤芝合格品多糖含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量≥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0.9 g/100g</w:t>
      </w:r>
      <w:r>
        <w:rPr>
          <w:rFonts w:ascii="Times New Roman" w:hAnsi="Times New Roman" w:eastAsia="Times New Roman" w:cs="Times New Roman"/>
          <w:sz w:val="28"/>
          <w:szCs w:val="28"/>
          <w:spacing w:val="-2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，紫芝合格品多糖含量≥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0.7 g/100g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。</w:t>
      </w:r>
    </w:p>
    <w:p>
      <w:pPr>
        <w:ind w:left="122" w:right="137" w:firstLine="567"/>
        <w:spacing w:before="10" w:line="291" w:lineRule="auto"/>
        <w:outlineLvl w:val="2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综合参考灵芝干制品多糖的限量标准，并结合项目组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前期检测数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6"/>
        </w:rPr>
        <w:t>据和灵芝的实际情况</w:t>
      </w:r>
      <w:r>
        <w:rPr>
          <w:rFonts w:ascii="FangSong_GB2312" w:hAnsi="FangSong_GB2312" w:eastAsia="FangSong_GB2312" w:cs="FangSong_GB2312"/>
          <w:sz w:val="28"/>
          <w:szCs w:val="28"/>
          <w:spacing w:val="-7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6"/>
        </w:rPr>
        <w:t>，本标准中限定了合格品中多糖含量</w:t>
      </w:r>
      <w:r>
        <w:rPr>
          <w:rFonts w:ascii="FangSong_GB2312" w:hAnsi="FangSong_GB2312" w:eastAsia="FangSong_GB2312" w:cs="FangSong_GB2312"/>
          <w:sz w:val="28"/>
          <w:szCs w:val="28"/>
          <w:spacing w:val="-4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6"/>
        </w:rPr>
        <w:t>≥</w:t>
      </w:r>
      <w:r>
        <w:rPr>
          <w:rFonts w:ascii="FangSong_GB2312" w:hAnsi="FangSong_GB2312" w:eastAsia="FangSong_GB2312" w:cs="FangSong_GB2312"/>
          <w:sz w:val="28"/>
          <w:szCs w:val="28"/>
          <w:spacing w:val="-10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>0.9</w:t>
      </w:r>
    </w:p>
    <w:p>
      <w:pPr>
        <w:ind w:left="121" w:right="138" w:hanging="5"/>
        <w:spacing w:before="237" w:line="360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g/100g</w:t>
      </w:r>
      <w:r>
        <w:rPr>
          <w:rFonts w:ascii="Times New Roman" w:hAnsi="Times New Roman" w:eastAsia="Times New Roman" w:cs="Times New Roman"/>
          <w:sz w:val="28"/>
          <w:szCs w:val="28"/>
          <w:spacing w:val="-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。该限量与中国药典中的多糖含量相同。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122</w:t>
      </w:r>
      <w:r>
        <w:rPr>
          <w:rFonts w:ascii="Times New Roman" w:hAnsi="Times New Roman" w:eastAsia="Times New Roman" w:cs="Times New Roman"/>
          <w:sz w:val="28"/>
          <w:szCs w:val="28"/>
          <w:spacing w:val="2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批项目制标检测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样品中，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114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批多糖含量均≥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0.9 g/100g</w:t>
      </w:r>
      <w:r>
        <w:rPr>
          <w:rFonts w:ascii="Times New Roman" w:hAnsi="Times New Roman" w:eastAsia="Times New Roman" w:cs="Times New Roman"/>
          <w:sz w:val="28"/>
          <w:szCs w:val="28"/>
          <w:spacing w:val="-3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，</w:t>
      </w:r>
      <w:r>
        <w:rPr>
          <w:rFonts w:ascii="FangSong_GB2312" w:hAnsi="FangSong_GB2312" w:eastAsia="FangSong_GB2312" w:cs="FangSong_GB2312"/>
          <w:sz w:val="28"/>
          <w:szCs w:val="28"/>
          <w:spacing w:val="-8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占总检测批次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的</w:t>
      </w:r>
      <w:r>
        <w:rPr>
          <w:rFonts w:ascii="FangSong_GB2312" w:hAnsi="FangSong_GB2312" w:eastAsia="FangSong_GB2312" w:cs="FangSong_GB2312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93.44%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。</w:t>
      </w:r>
    </w:p>
    <w:p>
      <w:pPr>
        <w:ind w:left="680"/>
        <w:spacing w:before="181" w:line="21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5.4</w:t>
      </w:r>
      <w:r>
        <w:rPr>
          <w:rFonts w:ascii="Times New Roman" w:hAnsi="Times New Roman" w:eastAsia="Times New Roman" w:cs="Times New Roman"/>
          <w:sz w:val="28"/>
          <w:szCs w:val="28"/>
          <w:spacing w:val="3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三萜及甾醇</w:t>
      </w:r>
    </w:p>
    <w:p>
      <w:pPr>
        <w:pStyle w:val="BodyText"/>
        <w:spacing w:line="300" w:lineRule="auto"/>
        <w:rPr/>
      </w:pPr>
      <w:r/>
    </w:p>
    <w:p>
      <w:pPr>
        <w:spacing w:before="91" w:line="214" w:lineRule="auto"/>
        <w:outlineLvl w:val="2"/>
        <w:jc w:val="right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项目组制订标准检测：按照《中华人民共和国药典》（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2020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年版）</w:t>
      </w:r>
    </w:p>
    <w:p>
      <w:pPr>
        <w:ind w:left="116" w:right="137" w:firstLine="14"/>
        <w:spacing w:before="237" w:line="365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灵芝项下三萜及甾醇的检测方法对</w:t>
      </w:r>
      <w:r>
        <w:rPr>
          <w:rFonts w:ascii="FangSong_GB2312" w:hAnsi="FangSong_GB2312" w:eastAsia="FangSong_GB2312" w:cs="FangSong_GB2312"/>
          <w:sz w:val="28"/>
          <w:szCs w:val="28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109</w:t>
      </w:r>
      <w:r>
        <w:rPr>
          <w:rFonts w:ascii="Times New Roman" w:hAnsi="Times New Roman" w:eastAsia="Times New Roman" w:cs="Times New Roman"/>
          <w:sz w:val="28"/>
          <w:szCs w:val="28"/>
          <w:spacing w:val="1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批次的灵芝样品进行检测，三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萜及甾醇检测结果最大值</w:t>
      </w:r>
      <w:r>
        <w:rPr>
          <w:rFonts w:ascii="FangSong_GB2312" w:hAnsi="FangSong_GB2312" w:eastAsia="FangSong_GB2312" w:cs="FangSong_GB2312"/>
          <w:sz w:val="28"/>
          <w:szCs w:val="28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1.54 g/100g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，最小值</w:t>
      </w:r>
      <w:r>
        <w:rPr>
          <w:rFonts w:ascii="FangSong_GB2312" w:hAnsi="FangSong_GB2312" w:eastAsia="FangSong_GB2312" w:cs="FangSong_GB2312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0.41 g/100g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，均值</w:t>
      </w:r>
      <w:r>
        <w:rPr>
          <w:rFonts w:ascii="FangSong_GB2312" w:hAnsi="FangSong_GB2312" w:eastAsia="FangSong_GB2312" w:cs="FangSong_GB2312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0.98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g/100g</w:t>
      </w:r>
      <w:r>
        <w:rPr>
          <w:rFonts w:ascii="Times New Roman" w:hAnsi="Times New Roman" w:eastAsia="Times New Roman" w:cs="Times New Roman"/>
          <w:sz w:val="28"/>
          <w:szCs w:val="28"/>
          <w:spacing w:val="-3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，具体检测结果见附件</w:t>
      </w:r>
      <w:r>
        <w:rPr>
          <w:rFonts w:ascii="FangSong_GB2312" w:hAnsi="FangSong_GB2312" w:eastAsia="FangSong_GB2312" w:cs="FangSong_GB2312"/>
          <w:sz w:val="28"/>
          <w:szCs w:val="28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。样品涵盖</w:t>
      </w:r>
      <w:r>
        <w:rPr>
          <w:rFonts w:ascii="FangSong_GB2312" w:hAnsi="FangSong_GB2312" w:eastAsia="FangSong_GB2312" w:cs="FangSong_GB2312"/>
          <w:sz w:val="28"/>
          <w:szCs w:val="28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1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种种植方式（代料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和段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木</w:t>
      </w:r>
      <w:r>
        <w:rPr>
          <w:rFonts w:ascii="FangSong_GB2312" w:hAnsi="FangSong_GB2312" w:eastAsia="FangSong_GB2312" w:cs="FangSong_GB2312"/>
          <w:sz w:val="28"/>
          <w:szCs w:val="28"/>
          <w:spacing w:val="5"/>
        </w:rPr>
        <w:t>），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其具体分布情况见表</w:t>
      </w:r>
      <w:r>
        <w:rPr>
          <w:rFonts w:ascii="FangSong_GB2312" w:hAnsi="FangSong_GB2312" w:eastAsia="FangSong_GB2312" w:cs="FangSong_GB2312"/>
          <w:sz w:val="28"/>
          <w:szCs w:val="28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4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。</w:t>
      </w:r>
    </w:p>
    <w:p>
      <w:pPr>
        <w:ind w:left="2678"/>
        <w:spacing w:before="11" w:line="214" w:lineRule="auto"/>
        <w:rPr>
          <w:rFonts w:ascii="FangSong_GB2312" w:hAnsi="FangSong_GB2312" w:eastAsia="FangSong_GB2312" w:cs="FangSong_GB2312"/>
          <w:sz w:val="24"/>
          <w:szCs w:val="24"/>
        </w:rPr>
      </w:pPr>
      <w:r>
        <w:rPr>
          <w:rFonts w:ascii="FangSong_GB2312" w:hAnsi="FangSong_GB2312" w:eastAsia="FangSong_GB2312" w:cs="FangSong_GB2312"/>
          <w:sz w:val="24"/>
          <w:szCs w:val="24"/>
          <w:spacing w:val="-5"/>
        </w:rPr>
        <w:t>表</w:t>
      </w:r>
      <w:r>
        <w:rPr>
          <w:rFonts w:ascii="FangSong_GB2312" w:hAnsi="FangSong_GB2312" w:eastAsia="FangSong_GB2312" w:cs="FangSong_GB2312"/>
          <w:sz w:val="24"/>
          <w:szCs w:val="24"/>
          <w:spacing w:val="-31"/>
        </w:rPr>
        <w:t xml:space="preserve"> </w:t>
      </w:r>
      <w:r>
        <w:rPr>
          <w:rFonts w:ascii="FangSong_GB2312" w:hAnsi="FangSong_GB2312" w:eastAsia="FangSong_GB2312" w:cs="FangSong_GB2312"/>
          <w:sz w:val="24"/>
          <w:szCs w:val="24"/>
          <w:spacing w:val="-5"/>
        </w:rPr>
        <w:t>4</w:t>
      </w:r>
      <w:r>
        <w:rPr>
          <w:rFonts w:ascii="FangSong_GB2312" w:hAnsi="FangSong_GB2312" w:eastAsia="FangSong_GB2312" w:cs="FangSong_GB2312"/>
          <w:sz w:val="24"/>
          <w:szCs w:val="24"/>
          <w:spacing w:val="27"/>
        </w:rPr>
        <w:t xml:space="preserve"> </w:t>
      </w:r>
      <w:r>
        <w:rPr>
          <w:rFonts w:ascii="FangSong_GB2312" w:hAnsi="FangSong_GB2312" w:eastAsia="FangSong_GB2312" w:cs="FangSong_GB2312"/>
          <w:sz w:val="24"/>
          <w:szCs w:val="24"/>
          <w:spacing w:val="-5"/>
        </w:rPr>
        <w:t>三萜及甾醇检测结果分布</w:t>
      </w:r>
    </w:p>
    <w:p>
      <w:pPr>
        <w:spacing w:line="197" w:lineRule="exact"/>
        <w:rPr/>
      </w:pPr>
      <w:r/>
    </w:p>
    <w:tbl>
      <w:tblPr>
        <w:tblStyle w:val="TableNormal"/>
        <w:tblW w:w="8521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016"/>
        <w:gridCol w:w="683"/>
        <w:gridCol w:w="1095"/>
        <w:gridCol w:w="871"/>
        <w:gridCol w:w="950"/>
        <w:gridCol w:w="878"/>
        <w:gridCol w:w="974"/>
        <w:gridCol w:w="1054"/>
      </w:tblGrid>
      <w:tr>
        <w:trPr>
          <w:trHeight w:val="323" w:hRule="atLeast"/>
        </w:trPr>
        <w:tc>
          <w:tcPr>
            <w:tcW w:w="2016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right="14"/>
              <w:spacing w:before="42" w:line="208" w:lineRule="auto"/>
              <w:jc w:val="right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3"/>
              </w:rPr>
              <w:t>检测值（g/100g）</w:t>
            </w:r>
          </w:p>
        </w:tc>
        <w:tc>
          <w:tcPr>
            <w:tcW w:w="683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07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4"/>
              </w:rPr>
              <w:t>0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4"/>
              </w:rPr>
              <w:t>~</w:t>
            </w:r>
          </w:p>
        </w:tc>
        <w:tc>
          <w:tcPr>
            <w:tcW w:w="1095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312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6"/>
              </w:rPr>
              <w:t>0.25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5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6"/>
              </w:rPr>
              <w:t>~</w:t>
            </w:r>
          </w:p>
        </w:tc>
        <w:tc>
          <w:tcPr>
            <w:tcW w:w="871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53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0.5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~</w:t>
            </w:r>
          </w:p>
        </w:tc>
        <w:tc>
          <w:tcPr>
            <w:tcW w:w="950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70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6"/>
              </w:rPr>
              <w:t>0.75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5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6"/>
              </w:rPr>
              <w:t>~</w:t>
            </w:r>
          </w:p>
        </w:tc>
        <w:tc>
          <w:tcPr>
            <w:tcW w:w="878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55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1.0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5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~</w:t>
            </w:r>
          </w:p>
        </w:tc>
        <w:tc>
          <w:tcPr>
            <w:tcW w:w="974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65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1.25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~</w:t>
            </w:r>
          </w:p>
        </w:tc>
        <w:tc>
          <w:tcPr>
            <w:tcW w:w="1054" w:type="dxa"/>
            <w:vAlign w:val="top"/>
            <w:tcBorders>
              <w:bottom w:val="single" w:color="000000" w:sz="6" w:space="0"/>
              <w:top w:val="single" w:color="000000" w:sz="6" w:space="0"/>
            </w:tcBorders>
          </w:tcPr>
          <w:p>
            <w:pPr>
              <w:ind w:left="177"/>
              <w:spacing w:before="42" w:line="208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合计</w:t>
            </w:r>
          </w:p>
        </w:tc>
      </w:tr>
      <w:tr>
        <w:trPr>
          <w:trHeight w:val="306" w:hRule="atLeast"/>
        </w:trPr>
        <w:tc>
          <w:tcPr>
            <w:tcW w:w="2016" w:type="dxa"/>
            <w:vAlign w:val="top"/>
            <w:tcBorders>
              <w:top w:val="single" w:color="000000" w:sz="6" w:space="0"/>
            </w:tcBorders>
          </w:tcPr>
          <w:p>
            <w:pPr>
              <w:ind w:left="120"/>
              <w:spacing w:before="35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4"/>
              </w:rPr>
              <w:t>样品个数</w:t>
            </w:r>
          </w:p>
        </w:tc>
        <w:tc>
          <w:tcPr>
            <w:tcW w:w="683" w:type="dxa"/>
            <w:vAlign w:val="top"/>
            <w:tcBorders>
              <w:top w:val="single" w:color="000000" w:sz="6" w:space="0"/>
            </w:tcBorders>
          </w:tcPr>
          <w:p>
            <w:pPr>
              <w:ind w:left="107"/>
              <w:spacing w:before="35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</w:rPr>
              <w:t>0</w:t>
            </w:r>
          </w:p>
        </w:tc>
        <w:tc>
          <w:tcPr>
            <w:tcW w:w="1095" w:type="dxa"/>
            <w:vAlign w:val="top"/>
            <w:tcBorders>
              <w:top w:val="single" w:color="000000" w:sz="6" w:space="0"/>
            </w:tcBorders>
          </w:tcPr>
          <w:p>
            <w:pPr>
              <w:ind w:left="305"/>
              <w:spacing w:before="35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</w:rPr>
              <w:t>2</w:t>
            </w:r>
          </w:p>
        </w:tc>
        <w:tc>
          <w:tcPr>
            <w:tcW w:w="871" w:type="dxa"/>
            <w:vAlign w:val="top"/>
            <w:tcBorders>
              <w:top w:val="single" w:color="000000" w:sz="6" w:space="0"/>
            </w:tcBorders>
          </w:tcPr>
          <w:p>
            <w:pPr>
              <w:ind w:left="152"/>
              <w:spacing w:before="35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3"/>
              </w:rPr>
              <w:t>16</w:t>
            </w:r>
          </w:p>
        </w:tc>
        <w:tc>
          <w:tcPr>
            <w:tcW w:w="950" w:type="dxa"/>
            <w:vAlign w:val="top"/>
            <w:tcBorders>
              <w:top w:val="single" w:color="000000" w:sz="6" w:space="0"/>
            </w:tcBorders>
          </w:tcPr>
          <w:p>
            <w:pPr>
              <w:ind w:left="172"/>
              <w:spacing w:before="35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5"/>
              </w:rPr>
              <w:t>37</w:t>
            </w:r>
          </w:p>
        </w:tc>
        <w:tc>
          <w:tcPr>
            <w:tcW w:w="878" w:type="dxa"/>
            <w:vAlign w:val="top"/>
            <w:tcBorders>
              <w:top w:val="single" w:color="000000" w:sz="6" w:space="0"/>
            </w:tcBorders>
          </w:tcPr>
          <w:p>
            <w:pPr>
              <w:ind w:left="148"/>
              <w:spacing w:before="35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42</w:t>
            </w:r>
          </w:p>
        </w:tc>
        <w:tc>
          <w:tcPr>
            <w:tcW w:w="974" w:type="dxa"/>
            <w:vAlign w:val="top"/>
            <w:tcBorders>
              <w:top w:val="single" w:color="000000" w:sz="6" w:space="0"/>
            </w:tcBorders>
          </w:tcPr>
          <w:p>
            <w:pPr>
              <w:ind w:left="165"/>
              <w:spacing w:before="35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3"/>
              </w:rPr>
              <w:t>12</w:t>
            </w:r>
          </w:p>
        </w:tc>
        <w:tc>
          <w:tcPr>
            <w:tcW w:w="1054" w:type="dxa"/>
            <w:vAlign w:val="top"/>
            <w:tcBorders>
              <w:top w:val="single" w:color="000000" w:sz="6" w:space="0"/>
            </w:tcBorders>
          </w:tcPr>
          <w:p>
            <w:pPr>
              <w:ind w:left="189"/>
              <w:spacing w:before="35" w:line="200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109</w:t>
            </w:r>
          </w:p>
        </w:tc>
      </w:tr>
      <w:tr>
        <w:trPr>
          <w:trHeight w:val="304" w:hRule="atLeast"/>
        </w:trPr>
        <w:tc>
          <w:tcPr>
            <w:tcW w:w="2016" w:type="dxa"/>
            <w:vAlign w:val="top"/>
          </w:tcPr>
          <w:p>
            <w:pPr>
              <w:ind w:left="127"/>
              <w:spacing w:before="41" w:line="19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>百分比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>(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>%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2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1"/>
              </w:rPr>
              <w:t>)</w:t>
            </w:r>
          </w:p>
        </w:tc>
        <w:tc>
          <w:tcPr>
            <w:tcW w:w="683" w:type="dxa"/>
            <w:vAlign w:val="top"/>
          </w:tcPr>
          <w:p>
            <w:pPr>
              <w:ind w:left="107"/>
              <w:spacing w:before="41" w:line="19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</w:rPr>
              <w:t>0</w:t>
            </w:r>
          </w:p>
        </w:tc>
        <w:tc>
          <w:tcPr>
            <w:tcW w:w="1095" w:type="dxa"/>
            <w:vAlign w:val="top"/>
          </w:tcPr>
          <w:p>
            <w:pPr>
              <w:ind w:left="311"/>
              <w:spacing w:before="41" w:line="19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1.83</w:t>
            </w:r>
          </w:p>
        </w:tc>
        <w:tc>
          <w:tcPr>
            <w:tcW w:w="871" w:type="dxa"/>
            <w:vAlign w:val="top"/>
          </w:tcPr>
          <w:p>
            <w:pPr>
              <w:ind w:left="152"/>
              <w:spacing w:before="41" w:line="19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14.68</w:t>
            </w:r>
          </w:p>
        </w:tc>
        <w:tc>
          <w:tcPr>
            <w:tcW w:w="950" w:type="dxa"/>
            <w:vAlign w:val="top"/>
          </w:tcPr>
          <w:p>
            <w:pPr>
              <w:ind w:left="172"/>
              <w:spacing w:before="41" w:line="19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6"/>
              </w:rPr>
              <w:t>33.94</w:t>
            </w:r>
          </w:p>
        </w:tc>
        <w:tc>
          <w:tcPr>
            <w:tcW w:w="878" w:type="dxa"/>
            <w:vAlign w:val="top"/>
          </w:tcPr>
          <w:p>
            <w:pPr>
              <w:ind w:left="158"/>
              <w:spacing w:before="41" w:line="19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6"/>
              </w:rPr>
              <w:t>38.53</w:t>
            </w:r>
          </w:p>
        </w:tc>
        <w:tc>
          <w:tcPr>
            <w:tcW w:w="974" w:type="dxa"/>
            <w:vAlign w:val="top"/>
          </w:tcPr>
          <w:p>
            <w:pPr>
              <w:ind w:left="165"/>
              <w:spacing w:before="41" w:line="19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11.02</w:t>
            </w:r>
          </w:p>
        </w:tc>
        <w:tc>
          <w:tcPr>
            <w:tcW w:w="1054" w:type="dxa"/>
            <w:vAlign w:val="top"/>
          </w:tcPr>
          <w:p>
            <w:pPr>
              <w:ind w:left="189"/>
              <w:spacing w:before="41" w:line="19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100</w:t>
            </w:r>
          </w:p>
        </w:tc>
      </w:tr>
      <w:tr>
        <w:trPr>
          <w:trHeight w:val="329" w:hRule="atLeast"/>
        </w:trPr>
        <w:tc>
          <w:tcPr>
            <w:tcW w:w="2016" w:type="dxa"/>
            <w:vAlign w:val="top"/>
            <w:tcBorders>
              <w:bottom w:val="single" w:color="000000" w:sz="6" w:space="0"/>
            </w:tcBorders>
          </w:tcPr>
          <w:p>
            <w:pPr>
              <w:ind w:left="129"/>
              <w:spacing w:before="49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累计百分比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(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%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)</w:t>
            </w:r>
          </w:p>
        </w:tc>
        <w:tc>
          <w:tcPr>
            <w:tcW w:w="683" w:type="dxa"/>
            <w:vAlign w:val="top"/>
            <w:tcBorders>
              <w:bottom w:val="single" w:color="000000" w:sz="6" w:space="0"/>
            </w:tcBorders>
          </w:tcPr>
          <w:p>
            <w:pPr>
              <w:ind w:left="107"/>
              <w:spacing w:before="49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</w:rPr>
              <w:t>0</w:t>
            </w:r>
          </w:p>
        </w:tc>
        <w:tc>
          <w:tcPr>
            <w:tcW w:w="1095" w:type="dxa"/>
            <w:vAlign w:val="top"/>
            <w:tcBorders>
              <w:bottom w:val="single" w:color="000000" w:sz="6" w:space="0"/>
            </w:tcBorders>
          </w:tcPr>
          <w:p>
            <w:pPr>
              <w:ind w:left="311"/>
              <w:spacing w:before="49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7"/>
              </w:rPr>
              <w:t>1.83</w:t>
            </w:r>
          </w:p>
        </w:tc>
        <w:tc>
          <w:tcPr>
            <w:tcW w:w="871" w:type="dxa"/>
            <w:vAlign w:val="top"/>
            <w:tcBorders>
              <w:bottom w:val="single" w:color="000000" w:sz="6" w:space="0"/>
            </w:tcBorders>
          </w:tcPr>
          <w:p>
            <w:pPr>
              <w:ind w:left="152"/>
              <w:spacing w:before="49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16.51</w:t>
            </w:r>
          </w:p>
        </w:tc>
        <w:tc>
          <w:tcPr>
            <w:tcW w:w="950" w:type="dxa"/>
            <w:vAlign w:val="top"/>
            <w:tcBorders>
              <w:bottom w:val="single" w:color="000000" w:sz="6" w:space="0"/>
            </w:tcBorders>
          </w:tcPr>
          <w:p>
            <w:pPr>
              <w:ind w:left="166"/>
              <w:spacing w:before="49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50.45</w:t>
            </w:r>
          </w:p>
        </w:tc>
        <w:tc>
          <w:tcPr>
            <w:tcW w:w="878" w:type="dxa"/>
            <w:vAlign w:val="top"/>
            <w:tcBorders>
              <w:bottom w:val="single" w:color="000000" w:sz="6" w:space="0"/>
            </w:tcBorders>
          </w:tcPr>
          <w:p>
            <w:pPr>
              <w:ind w:left="151"/>
              <w:spacing w:before="49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88.98</w:t>
            </w:r>
          </w:p>
        </w:tc>
        <w:tc>
          <w:tcPr>
            <w:tcW w:w="974" w:type="dxa"/>
            <w:vAlign w:val="top"/>
            <w:tcBorders>
              <w:bottom w:val="single" w:color="000000" w:sz="6" w:space="0"/>
            </w:tcBorders>
          </w:tcPr>
          <w:p>
            <w:pPr>
              <w:ind w:left="165"/>
              <w:spacing w:before="49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100</w:t>
            </w:r>
          </w:p>
        </w:tc>
        <w:tc>
          <w:tcPr>
            <w:tcW w:w="1054" w:type="dxa"/>
            <w:vAlign w:val="top"/>
            <w:tcBorders>
              <w:bottom w:val="single" w:color="000000" w:sz="6" w:space="0"/>
            </w:tcBorders>
          </w:tcPr>
          <w:p>
            <w:pPr>
              <w:ind w:left="189"/>
              <w:spacing w:before="49" w:line="20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9"/>
              </w:rPr>
              <w:t>100</w:t>
            </w:r>
          </w:p>
        </w:tc>
      </w:tr>
    </w:tbl>
    <w:p>
      <w:pPr>
        <w:ind w:left="528"/>
        <w:spacing w:before="209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4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3</w:t>
      </w:r>
      <w:r>
        <w:rPr>
          <w:rFonts w:ascii="FangSong_GB2312" w:hAnsi="FangSong_GB2312" w:eastAsia="FangSong_GB2312" w:cs="FangSong_GB2312"/>
          <w:sz w:val="28"/>
          <w:szCs w:val="28"/>
          <w:spacing w:val="4"/>
        </w:rPr>
        <w:t>）标准限量值的制定：</w:t>
      </w:r>
      <w:r>
        <w:rPr>
          <w:rFonts w:ascii="FangSong_GB2312" w:hAnsi="FangSong_GB2312" w:eastAsia="FangSong_GB2312" w:cs="FangSong_GB2312"/>
          <w:sz w:val="28"/>
          <w:szCs w:val="28"/>
          <w:spacing w:val="-7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4"/>
        </w:rPr>
        <w:t>中国药典、福建省食品安全地方标准</w:t>
      </w:r>
    </w:p>
    <w:p>
      <w:pPr>
        <w:ind w:left="115" w:right="140" w:hanging="7"/>
        <w:spacing w:before="235" w:line="377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</w:rPr>
        <w:t>DBS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35/008-2024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）中规定，干制灵芝合格品</w:t>
      </w:r>
      <w:r>
        <w:rPr>
          <w:rFonts w:ascii="FangSong_GB2312" w:hAnsi="FangSong_GB2312" w:eastAsia="FangSong_GB2312" w:cs="FangSong_GB2312"/>
          <w:sz w:val="28"/>
          <w:szCs w:val="28"/>
        </w:rPr>
        <w:t>三萜及甾醇含量</w:t>
      </w:r>
      <w:r>
        <w:rPr>
          <w:rFonts w:ascii="FangSong_GB2312" w:hAnsi="FangSong_GB2312" w:eastAsia="FangSong_GB2312" w:cs="FangSong_GB2312"/>
          <w:sz w:val="28"/>
          <w:szCs w:val="28"/>
          <w:spacing w:val="-6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≥</w:t>
      </w:r>
      <w:r>
        <w:rPr>
          <w:rFonts w:ascii="Times New Roman" w:hAnsi="Times New Roman" w:eastAsia="Times New Roman" w:cs="Times New Roman"/>
          <w:sz w:val="28"/>
          <w:szCs w:val="28"/>
        </w:rPr>
        <w:t>0.5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g/100g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。</w:t>
      </w:r>
    </w:p>
    <w:p>
      <w:pPr>
        <w:ind w:left="690"/>
        <w:spacing w:before="137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综合参考灵芝干制品三萜及甾醇的限量标准，并结合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项目组前期</w:t>
      </w:r>
    </w:p>
    <w:p>
      <w:pPr>
        <w:ind w:left="125" w:right="138" w:hanging="10"/>
        <w:spacing w:before="235" w:line="371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检测数据和灵芝的实际情况，本标准中限定了合格品中三萜及甾醇含</w:t>
      </w:r>
      <w:r>
        <w:rPr>
          <w:rFonts w:ascii="FangSong_GB2312" w:hAnsi="FangSong_GB2312" w:eastAsia="FangSong_GB2312" w:cs="FangSong_GB2312"/>
          <w:sz w:val="28"/>
          <w:szCs w:val="28"/>
          <w:spacing w:val="1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量≥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0.5 g/100g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。该限量与中国药典中的三萜及甾醇含量相同。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109</w:t>
      </w:r>
      <w:r>
        <w:rPr>
          <w:rFonts w:ascii="Times New Roman" w:hAnsi="Times New Roman" w:eastAsia="Times New Roman" w:cs="Times New Roman"/>
          <w:sz w:val="28"/>
          <w:szCs w:val="28"/>
          <w:spacing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批</w:t>
      </w:r>
    </w:p>
    <w:p>
      <w:pPr>
        <w:spacing w:line="371" w:lineRule="auto"/>
        <w:sectPr>
          <w:footerReference w:type="default" r:id="rId44"/>
          <w:pgSz w:w="11906" w:h="16839"/>
          <w:pgMar w:top="400" w:right="1660" w:bottom="1362" w:left="1691" w:header="0" w:footer="1200" w:gutter="0"/>
        </w:sectPr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33" w:right="87" w:hanging="5"/>
        <w:spacing w:before="91" w:line="360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项目制标检测样品中，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107</w:t>
      </w:r>
      <w:r>
        <w:rPr>
          <w:rFonts w:ascii="Times New Roman" w:hAnsi="Times New Roman" w:eastAsia="Times New Roman" w:cs="Times New Roman"/>
          <w:sz w:val="28"/>
          <w:szCs w:val="28"/>
          <w:spacing w:val="3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批三萜及甾醇含量≥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0.5 g/100g</w:t>
      </w:r>
      <w:r>
        <w:rPr>
          <w:rFonts w:ascii="Times New Roman" w:hAnsi="Times New Roman" w:eastAsia="Times New Roman" w:cs="Times New Roman"/>
          <w:sz w:val="28"/>
          <w:szCs w:val="28"/>
          <w:spacing w:val="-3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，占总检测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批次的</w:t>
      </w:r>
      <w:r>
        <w:rPr>
          <w:rFonts w:ascii="FangSong_GB2312" w:hAnsi="FangSong_GB2312" w:eastAsia="FangSong_GB2312" w:cs="FangSong_GB2312"/>
          <w:sz w:val="28"/>
          <w:szCs w:val="28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98.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17%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。</w:t>
      </w:r>
    </w:p>
    <w:p>
      <w:pPr>
        <w:ind w:left="26"/>
        <w:spacing w:before="180" w:line="226" w:lineRule="auto"/>
        <w:outlineLvl w:val="1"/>
        <w:rPr>
          <w:rFonts w:ascii="KaiTi" w:hAnsi="KaiTi" w:eastAsia="KaiTi" w:cs="KaiTi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6.</w:t>
      </w:r>
      <w:r>
        <w:rPr>
          <w:rFonts w:ascii="Times New Roman" w:hAnsi="Times New Roman" w:eastAsia="Times New Roman" w:cs="Times New Roman"/>
          <w:sz w:val="28"/>
          <w:szCs w:val="28"/>
          <w:spacing w:val="12"/>
        </w:rPr>
        <w:t xml:space="preserve">  </w:t>
      </w:r>
      <w:r>
        <w:rPr>
          <w:rFonts w:ascii="KaiTi" w:hAnsi="KaiTi" w:eastAsia="KaiTi" w:cs="KaiTi"/>
          <w:sz w:val="28"/>
          <w:szCs w:val="28"/>
          <w:spacing w:val="-7"/>
        </w:rPr>
        <w:t>污染物</w:t>
      </w:r>
    </w:p>
    <w:p>
      <w:pPr>
        <w:ind w:left="585"/>
        <w:spacing w:before="220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6.1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铅</w:t>
      </w:r>
    </w:p>
    <w:p>
      <w:pPr>
        <w:ind w:left="448"/>
        <w:spacing w:before="234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项目组制订标准检测：按照《食品安全国家标准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食品中多元素的</w:t>
      </w:r>
    </w:p>
    <w:p>
      <w:pPr>
        <w:ind w:left="16" w:right="85" w:firstLine="17"/>
        <w:spacing w:before="237" w:line="367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3"/>
        </w:rPr>
        <w:t>测定》（</w:t>
      </w:r>
      <w:r>
        <w:rPr>
          <w:rFonts w:ascii="Times New Roman" w:hAnsi="Times New Roman" w:eastAsia="Times New Roman" w:cs="Times New Roman"/>
          <w:sz w:val="28"/>
          <w:szCs w:val="28"/>
          <w:spacing w:val="-13"/>
        </w:rPr>
        <w:t>GB</w:t>
      </w:r>
      <w:r>
        <w:rPr>
          <w:rFonts w:ascii="Times New Roman" w:hAnsi="Times New Roman" w:eastAsia="Times New Roman" w:cs="Times New Roman"/>
          <w:sz w:val="28"/>
          <w:szCs w:val="28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3"/>
        </w:rPr>
        <w:t>5009.268</w:t>
      </w:r>
      <w:r>
        <w:rPr>
          <w:rFonts w:ascii="FangSong_GB2312" w:hAnsi="FangSong_GB2312" w:eastAsia="FangSong_GB2312" w:cs="FangSong_GB2312"/>
          <w:sz w:val="28"/>
          <w:szCs w:val="28"/>
          <w:spacing w:val="-13"/>
        </w:rPr>
        <w:t>）或《食品安全国家标准</w:t>
      </w:r>
      <w:r>
        <w:rPr>
          <w:rFonts w:ascii="FangSong_GB2312" w:hAnsi="FangSong_GB2312" w:eastAsia="FangSong_GB2312" w:cs="FangSong_GB2312"/>
          <w:sz w:val="28"/>
          <w:szCs w:val="28"/>
          <w:spacing w:val="-1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3"/>
        </w:rPr>
        <w:t>食品中铅的测</w:t>
      </w:r>
      <w:r>
        <w:rPr>
          <w:rFonts w:ascii="FangSong_GB2312" w:hAnsi="FangSong_GB2312" w:eastAsia="FangSong_GB2312" w:cs="FangSong_GB2312"/>
          <w:sz w:val="28"/>
          <w:szCs w:val="28"/>
          <w:spacing w:val="-14"/>
        </w:rPr>
        <w:t>定》（</w:t>
      </w:r>
      <w:r>
        <w:rPr>
          <w:rFonts w:ascii="Times New Roman" w:hAnsi="Times New Roman" w:eastAsia="Times New Roman" w:cs="Times New Roman"/>
          <w:sz w:val="28"/>
          <w:szCs w:val="28"/>
          <w:spacing w:val="-14"/>
        </w:rPr>
        <w:t>GB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5009.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12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）对</w:t>
      </w:r>
      <w:r>
        <w:rPr>
          <w:rFonts w:ascii="FangSong_GB2312" w:hAnsi="FangSong_GB2312" w:eastAsia="FangSong_GB2312" w:cs="FangSong_GB2312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117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批次的灵芝样品进行检测，铅检测结果最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大值</w:t>
      </w:r>
      <w:r>
        <w:rPr>
          <w:rFonts w:ascii="FangSong_GB2312" w:hAnsi="FangSong_GB2312" w:eastAsia="FangSong_GB2312" w:cs="FangSong_GB2312"/>
          <w:sz w:val="28"/>
          <w:szCs w:val="28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1.238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mg/kg</w:t>
      </w:r>
      <w:r>
        <w:rPr>
          <w:rFonts w:ascii="Times New Roman" w:hAnsi="Times New Roman" w:eastAsia="Times New Roman" w:cs="Times New Roman"/>
          <w:sz w:val="28"/>
          <w:szCs w:val="28"/>
          <w:spacing w:val="-3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，最小值</w:t>
      </w:r>
      <w:r>
        <w:rPr>
          <w:rFonts w:ascii="FangSong_GB2312" w:hAnsi="FangSong_GB2312" w:eastAsia="FangSong_GB2312" w:cs="FangSong_GB2312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0</w:t>
      </w:r>
      <w:r>
        <w:rPr>
          <w:rFonts w:ascii="Times New Roman" w:hAnsi="Times New Roman" w:eastAsia="Times New Roman" w:cs="Times New Roman"/>
          <w:sz w:val="28"/>
          <w:szCs w:val="28"/>
          <w:spacing w:val="-3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，均值</w:t>
      </w:r>
      <w:r>
        <w:rPr>
          <w:rFonts w:ascii="FangSong_GB2312" w:hAnsi="FangSong_GB2312" w:eastAsia="FangSong_GB2312" w:cs="FangSong_GB2312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19 mg/kg</w:t>
      </w:r>
      <w:r>
        <w:rPr>
          <w:rFonts w:ascii="Times New Roman" w:hAnsi="Times New Roman" w:eastAsia="Times New Roman" w:cs="Times New Roman"/>
          <w:sz w:val="28"/>
          <w:szCs w:val="28"/>
          <w:spacing w:val="-3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，具体检测结果见附件</w:t>
      </w:r>
      <w:r>
        <w:rPr>
          <w:rFonts w:ascii="FangSong_GB2312" w:hAnsi="FangSong_GB2312" w:eastAsia="FangSong_GB2312" w:cs="FangSong_GB2312"/>
          <w:sz w:val="28"/>
          <w:szCs w:val="28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。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117</w:t>
      </w:r>
      <w:r>
        <w:rPr>
          <w:rFonts w:ascii="Times New Roman" w:hAnsi="Times New Roman" w:eastAsia="Times New Roman" w:cs="Times New Roman"/>
          <w:sz w:val="28"/>
          <w:szCs w:val="28"/>
          <w:spacing w:val="1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批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项目制标检测样品中，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116</w:t>
      </w:r>
      <w:r>
        <w:rPr>
          <w:rFonts w:ascii="Times New Roman" w:hAnsi="Times New Roman" w:eastAsia="Times New Roman" w:cs="Times New Roman"/>
          <w:sz w:val="28"/>
          <w:szCs w:val="28"/>
          <w:spacing w:val="18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批铅含量均≤</w:t>
      </w:r>
      <w:r>
        <w:rPr>
          <w:rFonts w:ascii="FangSong_GB2312" w:hAnsi="FangSong_GB2312" w:eastAsia="FangSong_GB2312" w:cs="FangSong_GB2312"/>
          <w:sz w:val="28"/>
          <w:szCs w:val="28"/>
          <w:spacing w:val="-10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 mg/kg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，只有</w:t>
      </w:r>
      <w:r>
        <w:rPr>
          <w:rFonts w:ascii="FangSong_GB2312" w:hAnsi="FangSong_GB2312" w:eastAsia="FangSong_GB2312" w:cs="FangSong_GB2312"/>
          <w:sz w:val="28"/>
          <w:szCs w:val="28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1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批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次铅含量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大于</w:t>
      </w:r>
      <w:r>
        <w:rPr>
          <w:rFonts w:ascii="FangSong_GB2312" w:hAnsi="FangSong_GB2312" w:eastAsia="FangSong_GB2312" w:cs="FangSong_GB2312"/>
          <w:sz w:val="28"/>
          <w:szCs w:val="28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 mg/kg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。</w:t>
      </w:r>
    </w:p>
    <w:p>
      <w:pPr>
        <w:ind w:left="14" w:firstLine="567"/>
        <w:spacing w:before="172" w:line="368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标准限量值的制定：《关于党参等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9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种新增按照传统既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是食品又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>是中药材的物质公告》、山东省食品安全地方标准（</w:t>
      </w:r>
      <w:r>
        <w:rPr>
          <w:rFonts w:ascii="Times New Roman" w:hAnsi="Times New Roman" w:eastAsia="Times New Roman" w:cs="Times New Roman"/>
          <w:sz w:val="28"/>
          <w:szCs w:val="28"/>
          <w:spacing w:val="-15"/>
        </w:rPr>
        <w:t>DBS37/003-2024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>）、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福建省食品安全地方标准（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DBS35/008-2024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）中规定干制灵芝合格品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铅含量≤</w:t>
      </w:r>
      <w:r>
        <w:rPr>
          <w:rFonts w:ascii="FangSong_GB2312" w:hAnsi="FangSong_GB2312" w:eastAsia="FangSong_GB2312" w:cs="FangSong_GB2312"/>
          <w:sz w:val="28"/>
          <w:szCs w:val="28"/>
          <w:spacing w:val="-9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 mg/kg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，该两省份的地方标准发布均在公告发布时间之后，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故</w:t>
      </w:r>
      <w:r>
        <w:rPr>
          <w:rFonts w:ascii="FangSong_GB2312" w:hAnsi="FangSong_GB2312" w:eastAsia="FangSong_GB2312" w:cs="FangSong_GB2312"/>
          <w:sz w:val="28"/>
          <w:szCs w:val="28"/>
          <w:spacing w:val="-6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与公</w:t>
      </w:r>
      <w:r>
        <w:rPr>
          <w:rFonts w:ascii="FangSong_GB2312" w:hAnsi="FangSong_GB2312" w:eastAsia="FangSong_GB2312" w:cs="FangSong_GB2312"/>
          <w:sz w:val="28"/>
          <w:szCs w:val="28"/>
          <w:spacing w:val="-8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告</w:t>
      </w:r>
      <w:r>
        <w:rPr>
          <w:rFonts w:ascii="FangSong_GB2312" w:hAnsi="FangSong_GB2312" w:eastAsia="FangSong_GB2312" w:cs="FangSong_GB2312"/>
          <w:sz w:val="28"/>
          <w:szCs w:val="28"/>
          <w:spacing w:val="-5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中</w:t>
      </w:r>
      <w:r>
        <w:rPr>
          <w:rFonts w:ascii="FangSong_GB2312" w:hAnsi="FangSong_GB2312" w:eastAsia="FangSong_GB2312" w:cs="FangSong_GB2312"/>
          <w:sz w:val="28"/>
          <w:szCs w:val="28"/>
          <w:spacing w:val="-8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对铅含</w:t>
      </w:r>
      <w:r>
        <w:rPr>
          <w:rFonts w:ascii="FangSong_GB2312" w:hAnsi="FangSong_GB2312" w:eastAsia="FangSong_GB2312" w:cs="FangSong_GB2312"/>
          <w:sz w:val="28"/>
          <w:szCs w:val="28"/>
          <w:spacing w:val="-8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量</w:t>
      </w:r>
      <w:r>
        <w:rPr>
          <w:rFonts w:ascii="FangSong_GB2312" w:hAnsi="FangSong_GB2312" w:eastAsia="FangSong_GB2312" w:cs="FangSong_GB2312"/>
          <w:sz w:val="28"/>
          <w:szCs w:val="28"/>
          <w:spacing w:val="-6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的限值</w:t>
      </w:r>
      <w:r>
        <w:rPr>
          <w:rFonts w:ascii="FangSong_GB2312" w:hAnsi="FangSong_GB2312" w:eastAsia="FangSong_GB2312" w:cs="FangSong_GB2312"/>
          <w:sz w:val="28"/>
          <w:szCs w:val="28"/>
          <w:spacing w:val="-7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一</w:t>
      </w:r>
      <w:r>
        <w:rPr>
          <w:rFonts w:ascii="FangSong_GB2312" w:hAnsi="FangSong_GB2312" w:eastAsia="FangSong_GB2312" w:cs="FangSong_GB2312"/>
          <w:sz w:val="28"/>
          <w:szCs w:val="28"/>
          <w:spacing w:val="-7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致</w:t>
      </w:r>
      <w:r>
        <w:rPr>
          <w:rFonts w:ascii="FangSong_GB2312" w:hAnsi="FangSong_GB2312" w:eastAsia="FangSong_GB2312" w:cs="FangSong_GB2312"/>
          <w:sz w:val="28"/>
          <w:szCs w:val="28"/>
          <w:spacing w:val="-6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。</w:t>
      </w:r>
      <w:r>
        <w:rPr>
          <w:rFonts w:ascii="FangSong_GB2312" w:hAnsi="FangSong_GB2312" w:eastAsia="FangSong_GB2312" w:cs="FangSong_GB2312"/>
          <w:sz w:val="28"/>
          <w:szCs w:val="28"/>
          <w:spacing w:val="-7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重庆</w:t>
      </w:r>
      <w:r>
        <w:rPr>
          <w:rFonts w:ascii="FangSong_GB2312" w:hAnsi="FangSong_GB2312" w:eastAsia="FangSong_GB2312" w:cs="FangSong_GB2312"/>
          <w:sz w:val="28"/>
          <w:szCs w:val="28"/>
          <w:spacing w:val="-7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市</w:t>
      </w:r>
      <w:r>
        <w:rPr>
          <w:rFonts w:ascii="FangSong_GB2312" w:hAnsi="FangSong_GB2312" w:eastAsia="FangSong_GB2312" w:cs="FangSong_GB2312"/>
          <w:sz w:val="28"/>
          <w:szCs w:val="28"/>
          <w:spacing w:val="-8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食</w:t>
      </w:r>
      <w:r>
        <w:rPr>
          <w:rFonts w:ascii="FangSong_GB2312" w:hAnsi="FangSong_GB2312" w:eastAsia="FangSong_GB2312" w:cs="FangSong_GB2312"/>
          <w:sz w:val="28"/>
          <w:szCs w:val="28"/>
          <w:spacing w:val="-5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品安全地</w:t>
      </w:r>
      <w:r>
        <w:rPr>
          <w:rFonts w:ascii="FangSong_GB2312" w:hAnsi="FangSong_GB2312" w:eastAsia="FangSong_GB2312" w:cs="FangSong_GB2312"/>
          <w:sz w:val="28"/>
          <w:szCs w:val="28"/>
          <w:spacing w:val="-8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方标</w:t>
      </w:r>
      <w:r>
        <w:rPr>
          <w:rFonts w:ascii="FangSong_GB2312" w:hAnsi="FangSong_GB2312" w:eastAsia="FangSong_GB2312" w:cs="FangSong_GB2312"/>
          <w:sz w:val="28"/>
          <w:szCs w:val="28"/>
          <w:spacing w:val="-8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准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DBS50/032-2023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）中规定，干制灵芝合格品铅含量≤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0.5 mg/kg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，与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GB 2762</w:t>
      </w:r>
      <w:r>
        <w:rPr>
          <w:rFonts w:ascii="Times New Roman" w:hAnsi="Times New Roman" w:eastAsia="Times New Roman" w:cs="Times New Roman"/>
          <w:sz w:val="28"/>
          <w:szCs w:val="28"/>
          <w:spacing w:val="4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中对食用菌的限定保持一致；贵州省食品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安全地方食品标准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DBS52/ 057-2022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）中规定，干制灵芝合格品铅含量≤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 mg/kg</w:t>
      </w:r>
      <w:r>
        <w:rPr>
          <w:rFonts w:ascii="Times New Roman" w:hAnsi="Times New Roman" w:eastAsia="Times New Roman" w:cs="Times New Roman"/>
          <w:sz w:val="28"/>
          <w:szCs w:val="28"/>
          <w:spacing w:val="-1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，此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标准的发布在公告颁布时间之前；广西壮族自治区食品安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全地方食品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>标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>准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>（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DBS45/072-2021</w:t>
      </w:r>
      <w:r>
        <w:rPr>
          <w:rFonts w:ascii="Times New Roman" w:hAnsi="Times New Roman" w:eastAsia="Times New Roman" w:cs="Times New Roman"/>
          <w:sz w:val="28"/>
          <w:szCs w:val="28"/>
          <w:spacing w:val="47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>）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>和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>云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>南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>省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>食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>品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>安</w:t>
      </w:r>
      <w:r>
        <w:rPr>
          <w:rFonts w:ascii="FangSong_GB2312" w:hAnsi="FangSong_GB2312" w:eastAsia="FangSong_GB2312" w:cs="FangSong_GB2312"/>
          <w:sz w:val="28"/>
          <w:szCs w:val="28"/>
          <w:spacing w:val="-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9"/>
        </w:rPr>
        <w:t>全</w:t>
      </w:r>
      <w:r>
        <w:rPr>
          <w:rFonts w:ascii="FangSong_GB2312" w:hAnsi="FangSong_GB2312" w:eastAsia="FangSong_GB2312" w:cs="FangSong_GB2312"/>
          <w:sz w:val="28"/>
          <w:szCs w:val="28"/>
          <w:spacing w:val="-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9"/>
        </w:rPr>
        <w:t>地</w:t>
      </w:r>
      <w:r>
        <w:rPr>
          <w:rFonts w:ascii="FangSong_GB2312" w:hAnsi="FangSong_GB2312" w:eastAsia="FangSong_GB2312" w:cs="FangSong_GB2312"/>
          <w:sz w:val="28"/>
          <w:szCs w:val="28"/>
          <w:spacing w:val="-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9"/>
        </w:rPr>
        <w:t>方</w:t>
      </w:r>
      <w:r>
        <w:rPr>
          <w:rFonts w:ascii="FangSong_GB2312" w:hAnsi="FangSong_GB2312" w:eastAsia="FangSong_GB2312" w:cs="FangSong_GB2312"/>
          <w:sz w:val="28"/>
          <w:szCs w:val="28"/>
          <w:spacing w:val="-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9"/>
        </w:rPr>
        <w:t>标</w:t>
      </w:r>
      <w:r>
        <w:rPr>
          <w:rFonts w:ascii="FangSong_GB2312" w:hAnsi="FangSong_GB2312" w:eastAsia="FangSong_GB2312" w:cs="FangSong_GB2312"/>
          <w:sz w:val="28"/>
          <w:szCs w:val="28"/>
          <w:spacing w:val="-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9"/>
        </w:rPr>
        <w:t>准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z w:val="28"/>
          <w:szCs w:val="28"/>
        </w:rPr>
        <w:t>DBS53/036-2023</w:t>
      </w:r>
      <w:r>
        <w:rPr>
          <w:rFonts w:ascii="Times New Roman" w:hAnsi="Times New Roman" w:eastAsia="Times New Roman" w:cs="Times New Roman"/>
          <w:sz w:val="28"/>
          <w:szCs w:val="28"/>
          <w:spacing w:val="-1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，</w:t>
      </w:r>
      <w:r>
        <w:rPr>
          <w:rFonts w:ascii="FangSong_GB2312" w:hAnsi="FangSong_GB2312" w:eastAsia="FangSong_GB2312" w:cs="FangSong_GB2312"/>
          <w:sz w:val="28"/>
          <w:szCs w:val="28"/>
          <w:spacing w:val="-6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已废止）</w:t>
      </w:r>
      <w:r>
        <w:rPr>
          <w:rFonts w:ascii="FangSong_GB2312" w:hAnsi="FangSong_GB2312" w:eastAsia="FangSong_GB2312" w:cs="FangSong_GB2312"/>
          <w:sz w:val="28"/>
          <w:szCs w:val="28"/>
          <w:spacing w:val="-8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中规定，干制灵芝合格品铅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含量</w:t>
      </w:r>
      <w:r>
        <w:rPr>
          <w:rFonts w:ascii="FangSong_GB2312" w:hAnsi="FangSong_GB2312" w:eastAsia="FangSong_GB2312" w:cs="FangSong_GB2312"/>
          <w:sz w:val="28"/>
          <w:szCs w:val="28"/>
          <w:spacing w:val="-5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≤</w:t>
      </w:r>
      <w:r>
        <w:rPr>
          <w:rFonts w:ascii="FangSong_GB2312" w:hAnsi="FangSong_GB2312" w:eastAsia="FangSong_GB2312" w:cs="FangSong_GB2312"/>
          <w:sz w:val="28"/>
          <w:szCs w:val="28"/>
          <w:spacing w:val="-9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</w:rPr>
        <w:t>mg/kg</w:t>
      </w:r>
      <w:r>
        <w:rPr>
          <w:rFonts w:ascii="FangSong_GB2312" w:hAnsi="FangSong_GB2312" w:eastAsia="FangSong_GB2312" w:cs="FangSong_GB2312"/>
          <w:sz w:val="28"/>
          <w:szCs w:val="28"/>
        </w:rPr>
        <w:t>。</w:t>
      </w:r>
    </w:p>
    <w:p>
      <w:pPr>
        <w:ind w:left="31" w:right="87" w:firstLine="564"/>
        <w:spacing w:before="25" w:line="371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综合参考灵芝干制品铅的限量标准，并结合项目组前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期检测数据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和灵芝的实际情况，本标准中限定了合格品中铅含量应≤</w:t>
      </w:r>
      <w:r>
        <w:rPr>
          <w:rFonts w:ascii="FangSong_GB2312" w:hAnsi="FangSong_GB2312" w:eastAsia="FangSong_GB2312" w:cs="FangSong_GB2312"/>
          <w:sz w:val="28"/>
          <w:szCs w:val="28"/>
          <w:spacing w:val="-9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1 </w:t>
      </w:r>
      <w:r>
        <w:rPr>
          <w:rFonts w:ascii="Times New Roman" w:hAnsi="Times New Roman" w:eastAsia="Times New Roman" w:cs="Times New Roman"/>
          <w:sz w:val="28"/>
          <w:szCs w:val="28"/>
        </w:rPr>
        <w:t>mg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/</w:t>
      </w:r>
      <w:r>
        <w:rPr>
          <w:rFonts w:ascii="Times New Roman" w:hAnsi="Times New Roman" w:eastAsia="Times New Roman" w:cs="Times New Roman"/>
          <w:sz w:val="28"/>
          <w:szCs w:val="28"/>
        </w:rPr>
        <w:t>kg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。</w:t>
      </w:r>
    </w:p>
    <w:p>
      <w:pPr>
        <w:spacing w:line="371" w:lineRule="auto"/>
        <w:sectPr>
          <w:footerReference w:type="default" r:id="rId45"/>
          <w:pgSz w:w="11906" w:h="16839"/>
          <w:pgMar w:top="400" w:right="1712" w:bottom="1362" w:left="1785" w:header="0" w:footer="1200" w:gutter="0"/>
        </w:sectPr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22"/>
        <w:spacing w:before="91" w:line="216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该限量与公告保持一致。</w:t>
      </w:r>
    </w:p>
    <w:p>
      <w:pPr>
        <w:pStyle w:val="BodyText"/>
        <w:spacing w:line="295" w:lineRule="auto"/>
        <w:rPr/>
      </w:pPr>
      <w:r/>
    </w:p>
    <w:p>
      <w:pPr>
        <w:ind w:left="585"/>
        <w:spacing w:before="91" w:line="216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6.2</w:t>
      </w:r>
      <w:r>
        <w:rPr>
          <w:rFonts w:ascii="Times New Roman" w:hAnsi="Times New Roman" w:eastAsia="Times New Roman" w:cs="Times New Roman"/>
          <w:sz w:val="28"/>
          <w:szCs w:val="28"/>
          <w:spacing w:val="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镉</w:t>
      </w:r>
    </w:p>
    <w:p>
      <w:pPr>
        <w:ind w:left="448"/>
        <w:spacing w:before="231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项目组制订标准检测：按照《食品安全国家标准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食品中多元素的</w:t>
      </w:r>
    </w:p>
    <w:p>
      <w:pPr>
        <w:ind w:left="27" w:right="87" w:firstLine="6"/>
        <w:spacing w:before="236" w:line="368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3"/>
        </w:rPr>
        <w:t>测定》（</w:t>
      </w:r>
      <w:r>
        <w:rPr>
          <w:rFonts w:ascii="Times New Roman" w:hAnsi="Times New Roman" w:eastAsia="Times New Roman" w:cs="Times New Roman"/>
          <w:sz w:val="28"/>
          <w:szCs w:val="28"/>
          <w:spacing w:val="-13"/>
        </w:rPr>
        <w:t>GB</w:t>
      </w:r>
      <w:r>
        <w:rPr>
          <w:rFonts w:ascii="Times New Roman" w:hAnsi="Times New Roman" w:eastAsia="Times New Roman" w:cs="Times New Roman"/>
          <w:sz w:val="28"/>
          <w:szCs w:val="28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3"/>
        </w:rPr>
        <w:t>5009.268</w:t>
      </w:r>
      <w:r>
        <w:rPr>
          <w:rFonts w:ascii="FangSong_GB2312" w:hAnsi="FangSong_GB2312" w:eastAsia="FangSong_GB2312" w:cs="FangSong_GB2312"/>
          <w:sz w:val="28"/>
          <w:szCs w:val="28"/>
          <w:spacing w:val="-13"/>
        </w:rPr>
        <w:t>）或《食品安全国家标准</w:t>
      </w:r>
      <w:r>
        <w:rPr>
          <w:rFonts w:ascii="FangSong_GB2312" w:hAnsi="FangSong_GB2312" w:eastAsia="FangSong_GB2312" w:cs="FangSong_GB2312"/>
          <w:sz w:val="28"/>
          <w:szCs w:val="28"/>
          <w:spacing w:val="-1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3"/>
        </w:rPr>
        <w:t>食品中镉的测</w:t>
      </w:r>
      <w:r>
        <w:rPr>
          <w:rFonts w:ascii="FangSong_GB2312" w:hAnsi="FangSong_GB2312" w:eastAsia="FangSong_GB2312" w:cs="FangSong_GB2312"/>
          <w:sz w:val="28"/>
          <w:szCs w:val="28"/>
          <w:spacing w:val="-14"/>
        </w:rPr>
        <w:t>定》（</w:t>
      </w:r>
      <w:r>
        <w:rPr>
          <w:rFonts w:ascii="Times New Roman" w:hAnsi="Times New Roman" w:eastAsia="Times New Roman" w:cs="Times New Roman"/>
          <w:sz w:val="28"/>
          <w:szCs w:val="28"/>
          <w:spacing w:val="-14"/>
        </w:rPr>
        <w:t>GB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5009.15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）对</w:t>
      </w:r>
      <w:r>
        <w:rPr>
          <w:rFonts w:ascii="FangSong_GB2312" w:hAnsi="FangSong_GB2312" w:eastAsia="FangSong_GB2312" w:cs="FangSong_GB2312"/>
          <w:sz w:val="28"/>
          <w:szCs w:val="28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121</w:t>
      </w:r>
      <w:r>
        <w:rPr>
          <w:rFonts w:ascii="Times New Roman" w:hAnsi="Times New Roman" w:eastAsia="Times New Roman" w:cs="Times New Roman"/>
          <w:sz w:val="28"/>
          <w:szCs w:val="28"/>
          <w:spacing w:val="1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批次的灵芝样品进行检测，</w:t>
      </w:r>
    </w:p>
    <w:p>
      <w:pPr>
        <w:ind w:left="445"/>
        <w:spacing w:before="163" w:line="212" w:lineRule="auto"/>
        <w:outlineLvl w:val="2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</w:rPr>
        <w:t>镉检测结果最大值</w:t>
      </w:r>
      <w:r>
        <w:rPr>
          <w:rFonts w:ascii="FangSong_GB2312" w:hAnsi="FangSong_GB2312" w:eastAsia="FangSong_GB2312" w:cs="FangSong_GB2312"/>
          <w:sz w:val="28"/>
          <w:szCs w:val="28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0.639 mg/kg</w:t>
      </w:r>
      <w:r>
        <w:rPr>
          <w:rFonts w:ascii="Times New Roman" w:hAnsi="Times New Roman" w:eastAsia="Times New Roman" w:cs="Times New Roman"/>
          <w:sz w:val="28"/>
          <w:szCs w:val="28"/>
          <w:spacing w:val="-2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，最小值</w:t>
      </w:r>
      <w:r>
        <w:rPr>
          <w:rFonts w:ascii="FangSong_GB2312" w:hAnsi="FangSong_GB2312" w:eastAsia="FangSong_GB2312" w:cs="FangSong_GB2312"/>
          <w:sz w:val="28"/>
          <w:szCs w:val="28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0.005 mg/kg</w:t>
      </w:r>
      <w:r>
        <w:rPr>
          <w:rFonts w:ascii="Times New Roman" w:hAnsi="Times New Roman" w:eastAsia="Times New Roman" w:cs="Times New Roman"/>
          <w:sz w:val="28"/>
          <w:szCs w:val="28"/>
          <w:spacing w:val="-2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，均值</w:t>
      </w:r>
      <w:r>
        <w:rPr>
          <w:rFonts w:ascii="FangSong_GB2312" w:hAnsi="FangSong_GB2312" w:eastAsia="FangSong_GB2312" w:cs="FangSong_GB2312"/>
          <w:sz w:val="28"/>
          <w:szCs w:val="28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15</w:t>
      </w:r>
    </w:p>
    <w:p>
      <w:pPr>
        <w:ind w:left="24" w:right="5" w:hanging="8"/>
        <w:spacing w:before="237" w:line="360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mg/kg</w:t>
      </w:r>
      <w:r>
        <w:rPr>
          <w:rFonts w:ascii="Times New Roman" w:hAnsi="Times New Roman" w:eastAsia="Times New Roman" w:cs="Times New Roman"/>
          <w:sz w:val="28"/>
          <w:szCs w:val="28"/>
          <w:spacing w:val="-3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，具体检测结果见附件</w:t>
      </w:r>
      <w:r>
        <w:rPr>
          <w:rFonts w:ascii="FangSong_GB2312" w:hAnsi="FangSong_GB2312" w:eastAsia="FangSong_GB2312" w:cs="FangSong_GB2312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4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。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121</w:t>
      </w:r>
      <w:r>
        <w:rPr>
          <w:rFonts w:ascii="Times New Roman" w:hAnsi="Times New Roman" w:eastAsia="Times New Roman" w:cs="Times New Roman"/>
          <w:sz w:val="28"/>
          <w:szCs w:val="28"/>
          <w:spacing w:val="18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批项目制标检测样品中，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110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批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镉含量均≤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0.5 mg/kg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，占</w:t>
      </w:r>
      <w:r>
        <w:rPr>
          <w:rFonts w:ascii="FangSong_GB2312" w:hAnsi="FangSong_GB2312" w:eastAsia="FangSong_GB2312" w:cs="FangSong_GB2312"/>
          <w:sz w:val="28"/>
          <w:szCs w:val="28"/>
          <w:spacing w:val="-4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90.91%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，只有</w:t>
      </w:r>
      <w:r>
        <w:rPr>
          <w:rFonts w:ascii="FangSong_GB2312" w:hAnsi="FangSong_GB2312" w:eastAsia="FangSong_GB2312" w:cs="FangSong_GB2312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11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批次镉含量大于</w:t>
      </w:r>
      <w:r>
        <w:rPr>
          <w:rFonts w:ascii="FangSong_GB2312" w:hAnsi="FangSong_GB2312" w:eastAsia="FangSong_GB2312" w:cs="FangSong_GB2312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0.5 mg/kg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。</w:t>
      </w:r>
    </w:p>
    <w:p>
      <w:pPr>
        <w:ind w:left="581"/>
        <w:spacing w:before="191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标准限量值的制定：《关于党参等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9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种新增按照传统既是食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品又</w:t>
      </w:r>
    </w:p>
    <w:p>
      <w:pPr>
        <w:ind w:left="14" w:firstLine="5"/>
        <w:spacing w:before="227" w:line="368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>是中药材的物质公告》、山东省食品安全地方标准（</w:t>
      </w:r>
      <w:r>
        <w:rPr>
          <w:rFonts w:ascii="Times New Roman" w:hAnsi="Times New Roman" w:eastAsia="Times New Roman" w:cs="Times New Roman"/>
          <w:sz w:val="28"/>
          <w:szCs w:val="28"/>
          <w:spacing w:val="-15"/>
        </w:rPr>
        <w:t>DBS37/003-2</w:t>
      </w:r>
      <w:r>
        <w:rPr>
          <w:rFonts w:ascii="Times New Roman" w:hAnsi="Times New Roman" w:eastAsia="Times New Roman" w:cs="Times New Roman"/>
          <w:sz w:val="28"/>
          <w:szCs w:val="28"/>
          <w:spacing w:val="-16"/>
        </w:rPr>
        <w:t>024</w:t>
      </w:r>
      <w:r>
        <w:rPr>
          <w:rFonts w:ascii="FangSong_GB2312" w:hAnsi="FangSong_GB2312" w:eastAsia="FangSong_GB2312" w:cs="FangSong_GB2312"/>
          <w:sz w:val="28"/>
          <w:szCs w:val="28"/>
          <w:spacing w:val="-16"/>
        </w:rPr>
        <w:t>）、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福建省食品安全地方标准（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DBS35/008-2024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）中规定干制灵芝合格品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4"/>
        </w:rPr>
        <w:t>镉含量≤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0.5 </w:t>
      </w:r>
      <w:r>
        <w:rPr>
          <w:rFonts w:ascii="Times New Roman" w:hAnsi="Times New Roman" w:eastAsia="Times New Roman" w:cs="Times New Roman"/>
          <w:sz w:val="28"/>
          <w:szCs w:val="28"/>
        </w:rPr>
        <w:t>mg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/</w:t>
      </w:r>
      <w:r>
        <w:rPr>
          <w:rFonts w:ascii="Times New Roman" w:hAnsi="Times New Roman" w:eastAsia="Times New Roman" w:cs="Times New Roman"/>
          <w:sz w:val="28"/>
          <w:szCs w:val="28"/>
        </w:rPr>
        <w:t>kg</w:t>
      </w:r>
      <w:r>
        <w:rPr>
          <w:rFonts w:ascii="Times New Roman" w:hAnsi="Times New Roman" w:eastAsia="Times New Roman" w:cs="Times New Roman"/>
          <w:sz w:val="28"/>
          <w:szCs w:val="28"/>
          <w:spacing w:val="-2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4"/>
        </w:rPr>
        <w:t>，该两省份的地方标准发布均在公告发布时间之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6"/>
        </w:rPr>
        <w:t>后，故与公告中对镉含量的限值一致。重庆市食品安全地方标准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1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DBS50/032-2023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）中规定，干制灵芝合格品镉含量≤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0.2 mg/kg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，与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GB 2762</w:t>
      </w:r>
      <w:r>
        <w:rPr>
          <w:rFonts w:ascii="Times New Roman" w:hAnsi="Times New Roman" w:eastAsia="Times New Roman" w:cs="Times New Roman"/>
          <w:sz w:val="28"/>
          <w:szCs w:val="28"/>
          <w:spacing w:val="4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中对食用菌的限定保持一致；广西壮族自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治区食品安全地方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食品标准（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DBS45/072-2021</w:t>
      </w:r>
      <w:r>
        <w:rPr>
          <w:rFonts w:ascii="FangSong_GB2312" w:hAnsi="FangSong_GB2312" w:eastAsia="FangSong_GB2312" w:cs="FangSong_GB2312"/>
          <w:sz w:val="28"/>
          <w:szCs w:val="28"/>
          <w:spacing w:val="10"/>
        </w:rPr>
        <w:t>），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干制灵芝合格品镉含量≤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0.5 mg/kg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，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25"/>
        </w:rPr>
        <w:t>此标准的发布在公告颁布时间之前；</w:t>
      </w:r>
      <w:r>
        <w:rPr>
          <w:rFonts w:ascii="FangSong_GB2312" w:hAnsi="FangSong_GB2312" w:eastAsia="FangSong_GB2312" w:cs="FangSong_GB2312"/>
          <w:sz w:val="28"/>
          <w:szCs w:val="28"/>
          <w:spacing w:val="-6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25"/>
        </w:rPr>
        <w:t>云南省</w:t>
      </w:r>
      <w:r>
        <w:rPr>
          <w:rFonts w:ascii="FangSong_GB2312" w:hAnsi="FangSong_GB2312" w:eastAsia="FangSong_GB2312" w:cs="FangSong_GB2312"/>
          <w:sz w:val="28"/>
          <w:szCs w:val="28"/>
          <w:spacing w:val="24"/>
        </w:rPr>
        <w:t>食品安全地方标准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DBS53/036-2023</w:t>
      </w:r>
      <w:r>
        <w:rPr>
          <w:rFonts w:ascii="Times New Roman" w:hAnsi="Times New Roman" w:eastAsia="Times New Roman" w:cs="Times New Roman"/>
          <w:sz w:val="28"/>
          <w:szCs w:val="28"/>
          <w:spacing w:val="-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，</w:t>
      </w:r>
      <w:r>
        <w:rPr>
          <w:rFonts w:ascii="FangSong_GB2312" w:hAnsi="FangSong_GB2312" w:eastAsia="FangSong_GB2312" w:cs="FangSong_GB2312"/>
          <w:sz w:val="28"/>
          <w:szCs w:val="28"/>
          <w:spacing w:val="-7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已废止）中规定，干制灵芝合格品镉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含量</w:t>
      </w:r>
      <w:r>
        <w:rPr>
          <w:rFonts w:ascii="FangSong_GB2312" w:hAnsi="FangSong_GB2312" w:eastAsia="FangSong_GB2312" w:cs="FangSong_GB2312"/>
          <w:sz w:val="28"/>
          <w:szCs w:val="28"/>
          <w:spacing w:val="-6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≤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0.8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</w:rPr>
        <w:t>mg/kg</w:t>
      </w:r>
      <w:r>
        <w:rPr>
          <w:rFonts w:ascii="FangSong_GB2312" w:hAnsi="FangSong_GB2312" w:eastAsia="FangSong_GB2312" w:cs="FangSong_GB2312"/>
          <w:sz w:val="28"/>
          <w:szCs w:val="28"/>
        </w:rPr>
        <w:t>。</w:t>
      </w:r>
    </w:p>
    <w:p>
      <w:pPr>
        <w:ind w:left="22" w:right="34" w:firstLine="573"/>
        <w:spacing w:before="24" w:line="366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综合参考灵芝干制品镉的限量标准，并结合项目组前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期检测数据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和灵芝的实际情况，本标准中限定了合格品中镉含量应≤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0.5 mg/kg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。</w:t>
      </w:r>
      <w:r>
        <w:rPr>
          <w:rFonts w:ascii="FangSong_GB2312" w:hAnsi="FangSong_GB2312" w:eastAsia="FangSong_GB2312" w:cs="FangSong_GB2312"/>
          <w:sz w:val="28"/>
          <w:szCs w:val="28"/>
          <w:spacing w:val="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该限量与公告保持一致。</w:t>
      </w:r>
    </w:p>
    <w:p>
      <w:pPr>
        <w:ind w:left="585"/>
        <w:spacing w:before="172" w:line="221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6.3</w:t>
      </w:r>
      <w:r>
        <w:rPr>
          <w:rFonts w:ascii="Times New Roman" w:hAnsi="Times New Roman" w:eastAsia="Times New Roman" w:cs="Times New Roman"/>
          <w:sz w:val="28"/>
          <w:szCs w:val="28"/>
          <w:spacing w:val="1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汞</w:t>
      </w:r>
    </w:p>
    <w:p>
      <w:pPr>
        <w:spacing w:line="221" w:lineRule="auto"/>
        <w:sectPr>
          <w:footerReference w:type="default" r:id="rId46"/>
          <w:pgSz w:w="11906" w:h="16839"/>
          <w:pgMar w:top="400" w:right="1712" w:bottom="1362" w:left="1785" w:header="0" w:footer="1200" w:gutter="0"/>
        </w:sectPr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448"/>
        <w:spacing w:before="91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项目组制订标准检测：按照《食品安全国家标准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食品中多元素的</w:t>
      </w:r>
    </w:p>
    <w:p>
      <w:pPr>
        <w:ind w:left="16" w:right="87" w:firstLine="17"/>
        <w:spacing w:before="234" w:line="36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测定》（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GB 5009.268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）或《食品安全国家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标准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食品中总汞及有机汞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的测定》（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GB 5009.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17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）对</w:t>
      </w:r>
      <w:r>
        <w:rPr>
          <w:rFonts w:ascii="FangSong_GB2312" w:hAnsi="FangSong_GB2312" w:eastAsia="FangSong_GB2312" w:cs="FangSong_GB2312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118</w:t>
      </w:r>
      <w:r>
        <w:rPr>
          <w:rFonts w:ascii="Times New Roman" w:hAnsi="Times New Roman" w:eastAsia="Times New Roman" w:cs="Times New Roman"/>
          <w:sz w:val="28"/>
          <w:szCs w:val="28"/>
          <w:spacing w:val="1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批次的灵芝样品进行检测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，汞检测结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果最大值</w:t>
      </w:r>
      <w:r>
        <w:rPr>
          <w:rFonts w:ascii="FangSong_GB2312" w:hAnsi="FangSong_GB2312" w:eastAsia="FangSong_GB2312" w:cs="FangSong_GB2312"/>
          <w:sz w:val="28"/>
          <w:szCs w:val="28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0.227 mg/kg</w:t>
      </w:r>
      <w:r>
        <w:rPr>
          <w:rFonts w:ascii="Times New Roman" w:hAnsi="Times New Roman" w:eastAsia="Times New Roman" w:cs="Times New Roman"/>
          <w:sz w:val="28"/>
          <w:szCs w:val="28"/>
          <w:spacing w:val="-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，最小值</w:t>
      </w:r>
      <w:r>
        <w:rPr>
          <w:rFonts w:ascii="FangSong_GB2312" w:hAnsi="FangSong_GB2312" w:eastAsia="FangSong_GB2312" w:cs="FangSong_GB2312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0.001 mg/kg</w:t>
      </w:r>
      <w:r>
        <w:rPr>
          <w:rFonts w:ascii="Times New Roman" w:hAnsi="Times New Roman" w:eastAsia="Times New Roman" w:cs="Times New Roman"/>
          <w:sz w:val="28"/>
          <w:szCs w:val="28"/>
          <w:spacing w:val="-3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，均值</w:t>
      </w:r>
      <w:r>
        <w:rPr>
          <w:rFonts w:ascii="FangSong_GB2312" w:hAnsi="FangSong_GB2312" w:eastAsia="FangSong_GB2312" w:cs="FangSong_GB2312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0.05 mg/kg</w:t>
      </w:r>
      <w:r>
        <w:rPr>
          <w:rFonts w:ascii="Times New Roman" w:hAnsi="Times New Roman" w:eastAsia="Times New Roman" w:cs="Times New Roman"/>
          <w:sz w:val="28"/>
          <w:szCs w:val="28"/>
          <w:spacing w:val="-3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，具体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检测结果见附件</w:t>
      </w:r>
      <w:r>
        <w:rPr>
          <w:rFonts w:ascii="FangSong_GB2312" w:hAnsi="FangSong_GB2312" w:eastAsia="FangSong_GB2312" w:cs="FangSong_GB2312"/>
          <w:sz w:val="28"/>
          <w:szCs w:val="28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。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118</w:t>
      </w:r>
      <w:r>
        <w:rPr>
          <w:rFonts w:ascii="Times New Roman" w:hAnsi="Times New Roman" w:eastAsia="Times New Roman" w:cs="Times New Roman"/>
          <w:sz w:val="28"/>
          <w:szCs w:val="28"/>
          <w:spacing w:val="1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批项目制标检测样品中，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101</w:t>
      </w:r>
      <w:r>
        <w:rPr>
          <w:rFonts w:ascii="Times New Roman" w:hAnsi="Times New Roman" w:eastAsia="Times New Roman" w:cs="Times New Roman"/>
          <w:sz w:val="28"/>
          <w:szCs w:val="28"/>
          <w:spacing w:val="2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批汞含量≤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0.1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mg/kg</w:t>
      </w:r>
      <w:r>
        <w:rPr>
          <w:rFonts w:ascii="Times New Roman" w:hAnsi="Times New Roman" w:eastAsia="Times New Roman" w:cs="Times New Roman"/>
          <w:sz w:val="28"/>
          <w:szCs w:val="28"/>
          <w:spacing w:val="-3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，</w:t>
      </w:r>
      <w:r>
        <w:rPr>
          <w:rFonts w:ascii="FangSong_GB2312" w:hAnsi="FangSong_GB2312" w:eastAsia="FangSong_GB2312" w:cs="FangSong_GB2312"/>
          <w:sz w:val="28"/>
          <w:szCs w:val="28"/>
          <w:spacing w:val="-8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占</w:t>
      </w:r>
      <w:r>
        <w:rPr>
          <w:rFonts w:ascii="FangSong_GB2312" w:hAnsi="FangSong_GB2312" w:eastAsia="FangSong_GB2312" w:cs="FangSong_GB2312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85.59%</w:t>
      </w:r>
      <w:r>
        <w:rPr>
          <w:rFonts w:ascii="Times New Roman" w:hAnsi="Times New Roman" w:eastAsia="Times New Roman" w:cs="Times New Roman"/>
          <w:sz w:val="28"/>
          <w:szCs w:val="28"/>
          <w:spacing w:val="-3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，有</w:t>
      </w:r>
      <w:r>
        <w:rPr>
          <w:rFonts w:ascii="FangSong_GB2312" w:hAnsi="FangSong_GB2312" w:eastAsia="FangSong_GB2312" w:cs="FangSong_GB2312"/>
          <w:sz w:val="28"/>
          <w:szCs w:val="28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17</w:t>
      </w:r>
      <w:r>
        <w:rPr>
          <w:rFonts w:ascii="Times New Roman" w:hAnsi="Times New Roman" w:eastAsia="Times New Roman" w:cs="Times New Roman"/>
          <w:sz w:val="28"/>
          <w:szCs w:val="28"/>
          <w:spacing w:val="18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批次汞含量大于</w:t>
      </w:r>
      <w:r>
        <w:rPr>
          <w:rFonts w:ascii="FangSong_GB2312" w:hAnsi="FangSong_GB2312" w:eastAsia="FangSong_GB2312" w:cs="FangSong_GB2312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0.1 mg/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kg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。</w:t>
      </w:r>
    </w:p>
    <w:p>
      <w:pPr>
        <w:ind w:left="581"/>
        <w:spacing w:before="161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标准限量值的制定：《关于党参等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9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种新增按照传统既是食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品又</w:t>
      </w:r>
    </w:p>
    <w:p>
      <w:pPr>
        <w:ind w:left="14" w:firstLine="5"/>
        <w:spacing w:before="236" w:line="36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>是中药材的物质公告》、山东省食品安全地方标准（</w:t>
      </w:r>
      <w:r>
        <w:rPr>
          <w:rFonts w:ascii="Times New Roman" w:hAnsi="Times New Roman" w:eastAsia="Times New Roman" w:cs="Times New Roman"/>
          <w:sz w:val="28"/>
          <w:szCs w:val="28"/>
          <w:spacing w:val="-15"/>
        </w:rPr>
        <w:t>DBS37/003-2</w:t>
      </w:r>
      <w:r>
        <w:rPr>
          <w:rFonts w:ascii="Times New Roman" w:hAnsi="Times New Roman" w:eastAsia="Times New Roman" w:cs="Times New Roman"/>
          <w:sz w:val="28"/>
          <w:szCs w:val="28"/>
          <w:spacing w:val="-16"/>
        </w:rPr>
        <w:t>024</w:t>
      </w:r>
      <w:r>
        <w:rPr>
          <w:rFonts w:ascii="FangSong_GB2312" w:hAnsi="FangSong_GB2312" w:eastAsia="FangSong_GB2312" w:cs="FangSong_GB2312"/>
          <w:sz w:val="28"/>
          <w:szCs w:val="28"/>
          <w:spacing w:val="-16"/>
        </w:rPr>
        <w:t>）、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福建省食品安全地方标准（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DBS35/008-2024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）、重庆市食品安全地方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5"/>
        </w:rPr>
        <w:t>标准（</w:t>
      </w:r>
      <w:r>
        <w:rPr>
          <w:rFonts w:ascii="Times New Roman" w:hAnsi="Times New Roman" w:eastAsia="Times New Roman" w:cs="Times New Roman"/>
          <w:sz w:val="28"/>
          <w:szCs w:val="28"/>
        </w:rPr>
        <w:t>DBS</w:t>
      </w:r>
      <w:r>
        <w:rPr>
          <w:rFonts w:ascii="Times New Roman" w:hAnsi="Times New Roman" w:eastAsia="Times New Roman" w:cs="Times New Roman"/>
          <w:sz w:val="28"/>
          <w:szCs w:val="28"/>
          <w:spacing w:val="5"/>
        </w:rPr>
        <w:t>50/032-2023</w:t>
      </w:r>
      <w:r>
        <w:rPr>
          <w:rFonts w:ascii="FangSong_GB2312" w:hAnsi="FangSong_GB2312" w:eastAsia="FangSong_GB2312" w:cs="FangSong_GB2312"/>
          <w:sz w:val="28"/>
          <w:szCs w:val="28"/>
          <w:spacing w:val="5"/>
        </w:rPr>
        <w:t>）、广西壮族自治区食品安全地方食品标准</w:t>
      </w:r>
      <w:r>
        <w:rPr>
          <w:rFonts w:ascii="FangSong_GB2312" w:hAnsi="FangSong_GB2312" w:eastAsia="FangSong_GB2312" w:cs="FangSong_GB2312"/>
          <w:sz w:val="28"/>
          <w:szCs w:val="28"/>
          <w:spacing w:val="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DBS45/072-2021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）和云南省食品安全地方标准（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DBS53/036-2023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，</w:t>
      </w:r>
      <w:r>
        <w:rPr>
          <w:rFonts w:ascii="FangSong_GB2312" w:hAnsi="FangSong_GB2312" w:eastAsia="FangSong_GB2312" w:cs="FangSong_GB2312"/>
          <w:sz w:val="28"/>
          <w:szCs w:val="28"/>
          <w:spacing w:val="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已废止）中规定干制灵芝合格品汞含量≤</w:t>
      </w:r>
      <w:r>
        <w:rPr>
          <w:rFonts w:ascii="Times New Roman" w:hAnsi="Times New Roman" w:eastAsia="Times New Roman" w:cs="Times New Roman"/>
          <w:sz w:val="28"/>
          <w:szCs w:val="28"/>
        </w:rPr>
        <w:t>0.1 mg/kg</w:t>
      </w:r>
      <w:r>
        <w:rPr>
          <w:rFonts w:ascii="FangSong_GB2312" w:hAnsi="FangSong_GB2312" w:eastAsia="FangSong_GB2312" w:cs="FangSong_GB2312"/>
          <w:sz w:val="28"/>
          <w:szCs w:val="28"/>
        </w:rPr>
        <w:t>。</w:t>
      </w:r>
    </w:p>
    <w:p>
      <w:pPr>
        <w:ind w:left="22" w:right="34" w:firstLine="573"/>
        <w:spacing w:before="3" w:line="365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综合参考灵芝干制品汞的限量标准，并结合项目组前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期检测数据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和灵芝的实际情况，本标准中限定了合格品中汞含量应≤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0.1 mg/kg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。</w:t>
      </w:r>
      <w:r>
        <w:rPr>
          <w:rFonts w:ascii="FangSong_GB2312" w:hAnsi="FangSong_GB2312" w:eastAsia="FangSong_GB2312" w:cs="FangSong_GB2312"/>
          <w:sz w:val="28"/>
          <w:szCs w:val="28"/>
          <w:spacing w:val="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该限量与公告保持一致。</w:t>
      </w:r>
    </w:p>
    <w:p>
      <w:pPr>
        <w:ind w:left="585"/>
        <w:spacing w:before="172" w:line="218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6.4</w:t>
      </w:r>
      <w:r>
        <w:rPr>
          <w:rFonts w:ascii="Times New Roman" w:hAnsi="Times New Roman" w:eastAsia="Times New Roman" w:cs="Times New Roman"/>
          <w:sz w:val="28"/>
          <w:szCs w:val="28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砷</w:t>
      </w:r>
    </w:p>
    <w:p>
      <w:pPr>
        <w:ind w:left="448"/>
        <w:spacing w:before="231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项目组制订标准检测：按照《食品安全国家标准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食品中多元素的</w:t>
      </w:r>
    </w:p>
    <w:p>
      <w:pPr>
        <w:ind w:left="16" w:right="87" w:firstLine="17"/>
        <w:spacing w:before="234" w:line="36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测定》（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GB 5009.268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）或《食品安全国家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标准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食品中总砷及无机砷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的测定》（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GB 5009.11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）对</w:t>
      </w:r>
      <w:r>
        <w:rPr>
          <w:rFonts w:ascii="FangSong_GB2312" w:hAnsi="FangSong_GB2312" w:eastAsia="FangSong_GB2312" w:cs="FangSong_GB2312"/>
          <w:sz w:val="28"/>
          <w:szCs w:val="28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120</w:t>
      </w:r>
      <w:r>
        <w:rPr>
          <w:rFonts w:ascii="Times New Roman" w:hAnsi="Times New Roman" w:eastAsia="Times New Roman" w:cs="Times New Roman"/>
          <w:sz w:val="28"/>
          <w:szCs w:val="28"/>
          <w:spacing w:val="2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批次的灵芝样品进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行检测，砷检测结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果最大值</w:t>
      </w:r>
      <w:r>
        <w:rPr>
          <w:rFonts w:ascii="FangSong_GB2312" w:hAnsi="FangSong_GB2312" w:eastAsia="FangSong_GB2312" w:cs="FangSong_GB2312"/>
          <w:sz w:val="28"/>
          <w:szCs w:val="28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1.044 mg/kg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，最小值</w:t>
      </w:r>
      <w:r>
        <w:rPr>
          <w:rFonts w:ascii="FangSong_GB2312" w:hAnsi="FangSong_GB2312" w:eastAsia="FangSong_GB2312" w:cs="FangSong_GB2312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0.004 mg/kg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，均值</w:t>
      </w:r>
      <w:r>
        <w:rPr>
          <w:rFonts w:ascii="FangSong_GB2312" w:hAnsi="FangSong_GB2312" w:eastAsia="FangSong_GB2312" w:cs="FangSong_GB2312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0.1 mg/kg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，具体检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测结果见附件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2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。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120</w:t>
      </w:r>
      <w:r>
        <w:rPr>
          <w:rFonts w:ascii="Times New Roman" w:hAnsi="Times New Roman" w:eastAsia="Times New Roman" w:cs="Times New Roman"/>
          <w:sz w:val="28"/>
          <w:szCs w:val="28"/>
          <w:spacing w:val="3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批项目制标检测样品中，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119</w:t>
      </w:r>
      <w:r>
        <w:rPr>
          <w:rFonts w:ascii="Times New Roman" w:hAnsi="Times New Roman" w:eastAsia="Times New Roman" w:cs="Times New Roman"/>
          <w:sz w:val="28"/>
          <w:szCs w:val="28"/>
          <w:spacing w:val="27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批砷含量</w:t>
      </w:r>
      <w:r>
        <w:rPr>
          <w:rFonts w:ascii="FangSong_GB2312" w:hAnsi="FangSong_GB2312" w:eastAsia="FangSong_GB2312" w:cs="FangSong_GB2312"/>
          <w:sz w:val="28"/>
          <w:szCs w:val="28"/>
          <w:spacing w:val="-5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≤</w:t>
      </w:r>
      <w:r>
        <w:rPr>
          <w:rFonts w:ascii="FangSong_GB2312" w:hAnsi="FangSong_GB2312" w:eastAsia="FangSong_GB2312" w:cs="FangSong_GB2312"/>
          <w:sz w:val="28"/>
          <w:szCs w:val="28"/>
          <w:spacing w:val="-9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1.0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mg/kg</w:t>
      </w:r>
      <w:r>
        <w:rPr>
          <w:rFonts w:ascii="Times New Roman" w:hAnsi="Times New Roman" w:eastAsia="Times New Roman" w:cs="Times New Roman"/>
          <w:sz w:val="28"/>
          <w:szCs w:val="28"/>
          <w:spacing w:val="-2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，仅有</w:t>
      </w:r>
      <w:r>
        <w:rPr>
          <w:rFonts w:ascii="FangSong_GB2312" w:hAnsi="FangSong_GB2312" w:eastAsia="FangSong_GB2312" w:cs="FangSong_GB2312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2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批次砷含量大于</w:t>
      </w:r>
      <w:r>
        <w:rPr>
          <w:rFonts w:ascii="FangSong_GB2312" w:hAnsi="FangSong_GB2312" w:eastAsia="FangSong_GB2312" w:cs="FangSong_GB2312"/>
          <w:sz w:val="28"/>
          <w:szCs w:val="28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1.0 mg/kg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。</w:t>
      </w:r>
    </w:p>
    <w:p>
      <w:pPr>
        <w:ind w:left="581"/>
        <w:spacing w:before="162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标准限量值的制定：《关于党参等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9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种新增按照传统既是食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品又</w:t>
      </w:r>
    </w:p>
    <w:p>
      <w:pPr>
        <w:spacing w:before="237" w:line="214" w:lineRule="auto"/>
        <w:jc w:val="right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>是中药材的物质公告》、山东省食品安全地方标准（</w:t>
      </w:r>
      <w:r>
        <w:rPr>
          <w:rFonts w:ascii="Times New Roman" w:hAnsi="Times New Roman" w:eastAsia="Times New Roman" w:cs="Times New Roman"/>
          <w:sz w:val="28"/>
          <w:szCs w:val="28"/>
          <w:spacing w:val="-15"/>
        </w:rPr>
        <w:t>DBS37/003-2</w:t>
      </w:r>
      <w:r>
        <w:rPr>
          <w:rFonts w:ascii="Times New Roman" w:hAnsi="Times New Roman" w:eastAsia="Times New Roman" w:cs="Times New Roman"/>
          <w:sz w:val="28"/>
          <w:szCs w:val="28"/>
          <w:spacing w:val="-16"/>
        </w:rPr>
        <w:t>024</w:t>
      </w:r>
      <w:r>
        <w:rPr>
          <w:rFonts w:ascii="FangSong_GB2312" w:hAnsi="FangSong_GB2312" w:eastAsia="FangSong_GB2312" w:cs="FangSong_GB2312"/>
          <w:sz w:val="28"/>
          <w:szCs w:val="28"/>
          <w:spacing w:val="-16"/>
        </w:rPr>
        <w:t>）、</w:t>
      </w:r>
    </w:p>
    <w:p>
      <w:pPr>
        <w:spacing w:line="214" w:lineRule="auto"/>
        <w:sectPr>
          <w:footerReference w:type="default" r:id="rId47"/>
          <w:pgSz w:w="11906" w:h="16839"/>
          <w:pgMar w:top="400" w:right="1712" w:bottom="1362" w:left="1785" w:header="0" w:footer="1200" w:gutter="0"/>
        </w:sectPr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16" w:right="13" w:firstLine="13"/>
        <w:spacing w:before="91" w:line="372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福建省食品安全地方标准（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DBS35/008-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2024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）及贵州省食品安全地方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8"/>
        </w:rPr>
        <w:t>食品标准（</w:t>
      </w:r>
      <w:r>
        <w:rPr>
          <w:rFonts w:ascii="Times New Roman" w:hAnsi="Times New Roman" w:eastAsia="Times New Roman" w:cs="Times New Roman"/>
          <w:sz w:val="28"/>
          <w:szCs w:val="28"/>
        </w:rPr>
        <w:t>DBS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52/</w:t>
      </w:r>
      <w:r>
        <w:rPr>
          <w:rFonts w:ascii="Times New Roman" w:hAnsi="Times New Roman" w:eastAsia="Times New Roman" w:cs="Times New Roman"/>
          <w:sz w:val="28"/>
          <w:szCs w:val="28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057-2022</w:t>
      </w:r>
      <w:r>
        <w:rPr>
          <w:rFonts w:ascii="FangSong_GB2312" w:hAnsi="FangSong_GB2312" w:eastAsia="FangSong_GB2312" w:cs="FangSong_GB2312"/>
          <w:sz w:val="28"/>
          <w:szCs w:val="28"/>
          <w:spacing w:val="8"/>
        </w:rPr>
        <w:t>）</w:t>
      </w:r>
      <w:r>
        <w:rPr>
          <w:rFonts w:ascii="FangSong_GB2312" w:hAnsi="FangSong_GB2312" w:eastAsia="FangSong_GB2312" w:cs="FangSong_GB2312"/>
          <w:sz w:val="28"/>
          <w:szCs w:val="28"/>
          <w:spacing w:val="-7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8"/>
        </w:rPr>
        <w:t>中规定干制灵芝合格品砷含量</w:t>
      </w:r>
      <w:r>
        <w:rPr>
          <w:rFonts w:ascii="FangSong_GB2312" w:hAnsi="FangSong_GB2312" w:eastAsia="FangSong_GB2312" w:cs="FangSong_GB2312"/>
          <w:sz w:val="28"/>
          <w:szCs w:val="28"/>
          <w:spacing w:val="-4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8"/>
        </w:rPr>
        <w:t>≤</w:t>
      </w:r>
      <w:r>
        <w:rPr>
          <w:rFonts w:ascii="FangSong_GB2312" w:hAnsi="FangSong_GB2312" w:eastAsia="FangSong_GB2312" w:cs="FangSong_GB2312"/>
          <w:sz w:val="28"/>
          <w:szCs w:val="28"/>
          <w:spacing w:val="-8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1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mg/kg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。重庆市食品安全地方标准（</w:t>
      </w:r>
      <w:r>
        <w:rPr>
          <w:rFonts w:ascii="Times New Roman" w:hAnsi="Times New Roman" w:eastAsia="Times New Roman" w:cs="Times New Roman"/>
          <w:sz w:val="28"/>
          <w:szCs w:val="28"/>
        </w:rPr>
        <w:t>DBS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50/032-2023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）、广西壮族自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治区食品安全地方食品标准（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DBS45/072-2021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）和云南省食品安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全地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方标准（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DBS53/036-2023</w:t>
      </w:r>
      <w:r>
        <w:rPr>
          <w:rFonts w:ascii="Times New Roman" w:hAnsi="Times New Roman" w:eastAsia="Times New Roman" w:cs="Times New Roman"/>
          <w:sz w:val="28"/>
          <w:szCs w:val="28"/>
          <w:spacing w:val="-3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，已废止）中规定干制灵芝合格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品砷含量≤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0.5 mg/kg</w:t>
      </w:r>
    </w:p>
    <w:p>
      <w:pPr>
        <w:ind w:left="22" w:right="13" w:firstLine="573"/>
        <w:spacing w:before="38" w:line="365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综合参考灵芝干制品砷的限量标准，并结合项目组前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期检测数据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和灵芝的实际情况，本标准中限定了合格品中砷含</w:t>
      </w:r>
      <w:r>
        <w:rPr>
          <w:rFonts w:ascii="FangSong_GB2312" w:hAnsi="FangSong_GB2312" w:eastAsia="FangSong_GB2312" w:cs="FangSong_GB2312"/>
          <w:sz w:val="28"/>
          <w:szCs w:val="28"/>
        </w:rPr>
        <w:t>量应≤</w:t>
      </w:r>
      <w:r>
        <w:rPr>
          <w:rFonts w:ascii="FangSong_GB2312" w:hAnsi="FangSong_GB2312" w:eastAsia="FangSong_GB2312" w:cs="FangSong_GB2312"/>
          <w:sz w:val="28"/>
          <w:szCs w:val="28"/>
          <w:spacing w:val="-105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1 mg/kg</w:t>
      </w:r>
      <w:r>
        <w:rPr>
          <w:rFonts w:ascii="Times New Roman" w:hAnsi="Times New Roman" w:eastAsia="Times New Roman" w:cs="Times New Roman"/>
          <w:sz w:val="28"/>
          <w:szCs w:val="28"/>
          <w:spacing w:val="-3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。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该限量与公告保持一致。</w:t>
      </w:r>
    </w:p>
    <w:p>
      <w:pPr>
        <w:ind w:left="2733"/>
        <w:spacing w:before="3" w:line="212" w:lineRule="auto"/>
        <w:rPr>
          <w:rFonts w:ascii="FangSong_GB2312" w:hAnsi="FangSong_GB2312" w:eastAsia="FangSong_GB2312" w:cs="FangSong_GB2312"/>
          <w:sz w:val="24"/>
          <w:szCs w:val="24"/>
        </w:rPr>
      </w:pPr>
      <w:r>
        <w:rPr>
          <w:rFonts w:ascii="FangSong_GB2312" w:hAnsi="FangSong_GB2312" w:eastAsia="FangSong_GB2312" w:cs="FangSong_GB2312"/>
          <w:sz w:val="24"/>
          <w:szCs w:val="24"/>
          <w:spacing w:val="-4"/>
        </w:rPr>
        <w:t>表</w:t>
      </w:r>
      <w:r>
        <w:rPr>
          <w:rFonts w:ascii="FangSong_GB2312" w:hAnsi="FangSong_GB2312" w:eastAsia="FangSong_GB2312" w:cs="FangSong_GB2312"/>
          <w:sz w:val="24"/>
          <w:szCs w:val="24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5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FangSong_GB2312" w:hAnsi="FangSong_GB2312" w:eastAsia="FangSong_GB2312" w:cs="FangSong_GB2312"/>
          <w:sz w:val="24"/>
          <w:szCs w:val="24"/>
          <w:spacing w:val="-4"/>
        </w:rPr>
        <w:t>污染物检测结果统计表</w:t>
      </w:r>
    </w:p>
    <w:tbl>
      <w:tblPr>
        <w:tblStyle w:val="TableNormal"/>
        <w:tblW w:w="7156" w:type="dxa"/>
        <w:tblInd w:w="588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270"/>
        <w:gridCol w:w="1420"/>
        <w:gridCol w:w="913"/>
        <w:gridCol w:w="975"/>
        <w:gridCol w:w="1578"/>
      </w:tblGrid>
      <w:tr>
        <w:trPr>
          <w:trHeight w:val="463" w:hRule="atLeast"/>
        </w:trPr>
        <w:tc>
          <w:tcPr>
            <w:tcW w:w="227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18"/>
              <w:spacing w:before="122" w:line="218" w:lineRule="auto"/>
              <w:rPr>
                <w:rFonts w:ascii="FangSong_GB2312" w:hAnsi="FangSong_GB2312" w:eastAsia="FangSong_GB2312" w:cs="FangSong_GB2312"/>
                <w:sz w:val="22"/>
                <w:szCs w:val="22"/>
              </w:rPr>
            </w:pPr>
            <w:r>
              <w:rPr>
                <w:rFonts w:ascii="FangSong_GB2312" w:hAnsi="FangSong_GB2312" w:eastAsia="FangSong_GB2312" w:cs="FangSong_GB2312"/>
                <w:sz w:val="22"/>
                <w:szCs w:val="22"/>
                <w:b/>
                <w:bCs/>
                <w:spacing w:val="-8"/>
              </w:rPr>
              <w:t>项目</w:t>
            </w:r>
          </w:p>
        </w:tc>
        <w:tc>
          <w:tcPr>
            <w:tcW w:w="142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right="1"/>
              <w:spacing w:before="121" w:line="217" w:lineRule="auto"/>
              <w:jc w:val="right"/>
              <w:rPr>
                <w:rFonts w:ascii="FangSong_GB2312" w:hAnsi="FangSong_GB2312" w:eastAsia="FangSong_GB2312" w:cs="FangSong_GB2312"/>
                <w:sz w:val="22"/>
                <w:szCs w:val="22"/>
              </w:rPr>
            </w:pPr>
            <w:r>
              <w:rPr>
                <w:rFonts w:ascii="FangSong_GB2312" w:hAnsi="FangSong_GB2312" w:eastAsia="FangSong_GB2312" w:cs="FangSong_GB2312"/>
                <w:sz w:val="22"/>
                <w:szCs w:val="22"/>
                <w:b/>
                <w:bCs/>
                <w:spacing w:val="-5"/>
              </w:rPr>
              <w:t>检测量（批）</w:t>
            </w:r>
          </w:p>
        </w:tc>
        <w:tc>
          <w:tcPr>
            <w:tcW w:w="91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17"/>
              <w:spacing w:before="122" w:line="215" w:lineRule="auto"/>
              <w:rPr>
                <w:rFonts w:ascii="FangSong_GB2312" w:hAnsi="FangSong_GB2312" w:eastAsia="FangSong_GB2312" w:cs="FangSong_GB2312"/>
                <w:sz w:val="22"/>
                <w:szCs w:val="22"/>
              </w:rPr>
            </w:pPr>
            <w:r>
              <w:rPr>
                <w:rFonts w:ascii="FangSong_GB2312" w:hAnsi="FangSong_GB2312" w:eastAsia="FangSong_GB2312" w:cs="FangSong_GB2312"/>
                <w:sz w:val="22"/>
                <w:szCs w:val="22"/>
                <w:b/>
                <w:bCs/>
                <w:spacing w:val="-7"/>
              </w:rPr>
              <w:t>最大值</w:t>
            </w:r>
          </w:p>
        </w:tc>
        <w:tc>
          <w:tcPr>
            <w:tcW w:w="97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64"/>
              <w:spacing w:before="122" w:line="215" w:lineRule="auto"/>
              <w:rPr>
                <w:rFonts w:ascii="FangSong_GB2312" w:hAnsi="FangSong_GB2312" w:eastAsia="FangSong_GB2312" w:cs="FangSong_GB2312"/>
                <w:sz w:val="22"/>
                <w:szCs w:val="22"/>
              </w:rPr>
            </w:pPr>
            <w:r>
              <w:rPr>
                <w:rFonts w:ascii="FangSong_GB2312" w:hAnsi="FangSong_GB2312" w:eastAsia="FangSong_GB2312" w:cs="FangSong_GB2312"/>
                <w:sz w:val="22"/>
                <w:szCs w:val="22"/>
                <w:b/>
                <w:bCs/>
                <w:spacing w:val="-7"/>
              </w:rPr>
              <w:t>最小值</w:t>
            </w:r>
          </w:p>
        </w:tc>
        <w:tc>
          <w:tcPr>
            <w:tcW w:w="157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79"/>
              <w:spacing w:before="122" w:line="215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FangSong_GB2312" w:hAnsi="FangSong_GB2312" w:eastAsia="FangSong_GB2312" w:cs="FangSong_GB2312"/>
                <w:sz w:val="22"/>
                <w:szCs w:val="22"/>
                <w:b/>
                <w:bCs/>
                <w:spacing w:val="-3"/>
              </w:rPr>
              <w:t>平均值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b/>
                <w:bCs/>
                <w:spacing w:val="-3"/>
              </w:rPr>
              <w:t>±RSD</w:t>
            </w:r>
          </w:p>
        </w:tc>
      </w:tr>
      <w:tr>
        <w:trPr>
          <w:trHeight w:val="464" w:hRule="atLeast"/>
        </w:trPr>
        <w:tc>
          <w:tcPr>
            <w:tcW w:w="2270" w:type="dxa"/>
            <w:vAlign w:val="top"/>
            <w:tcBorders>
              <w:top w:val="single" w:color="000000" w:sz="2" w:space="0"/>
            </w:tcBorders>
          </w:tcPr>
          <w:p>
            <w:pPr>
              <w:ind w:left="112"/>
              <w:spacing w:before="120" w:line="21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FangSong_GB2312" w:hAnsi="FangSong_GB2312" w:eastAsia="FangSong_GB2312" w:cs="FangSong_GB2312"/>
                <w:sz w:val="22"/>
                <w:szCs w:val="22"/>
                <w:b/>
                <w:bCs/>
                <w:spacing w:val="-10"/>
              </w:rPr>
              <w:t>铅（以</w:t>
            </w:r>
            <w:r>
              <w:rPr>
                <w:rFonts w:ascii="FangSong_GB2312" w:hAnsi="FangSong_GB2312" w:eastAsia="FangSong_GB2312" w:cs="FangSong_GB2312"/>
                <w:sz w:val="22"/>
                <w:szCs w:val="22"/>
                <w:spacing w:val="-5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b/>
                <w:bCs/>
                <w:spacing w:val="-10"/>
              </w:rPr>
              <w:t>Pb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b/>
                <w:bCs/>
                <w:spacing w:val="12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2"/>
                <w:szCs w:val="22"/>
                <w:b/>
                <w:bCs/>
                <w:spacing w:val="-10"/>
              </w:rPr>
              <w:t>计</w:t>
            </w:r>
            <w:r>
              <w:rPr>
                <w:rFonts w:ascii="FangSong_GB2312" w:hAnsi="FangSong_GB2312" w:eastAsia="FangSong_GB2312" w:cs="FangSong_GB2312"/>
                <w:sz w:val="22"/>
                <w:szCs w:val="22"/>
                <w:b/>
                <w:bCs/>
                <w:spacing w:val="-72"/>
              </w:rPr>
              <w:t>），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b/>
                <w:bCs/>
                <w:spacing w:val="-10"/>
              </w:rPr>
              <w:t>mg/kg</w:t>
            </w:r>
          </w:p>
        </w:tc>
        <w:tc>
          <w:tcPr>
            <w:tcW w:w="1420" w:type="dxa"/>
            <w:vAlign w:val="top"/>
            <w:tcBorders>
              <w:top w:val="single" w:color="000000" w:sz="2" w:space="0"/>
            </w:tcBorders>
          </w:tcPr>
          <w:p>
            <w:pPr>
              <w:ind w:left="131"/>
              <w:spacing w:before="154" w:line="189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0"/>
              </w:rPr>
              <w:t>117</w:t>
            </w:r>
          </w:p>
        </w:tc>
        <w:tc>
          <w:tcPr>
            <w:tcW w:w="913" w:type="dxa"/>
            <w:vAlign w:val="top"/>
            <w:tcBorders>
              <w:top w:val="single" w:color="000000" w:sz="2" w:space="0"/>
            </w:tcBorders>
          </w:tcPr>
          <w:p>
            <w:pPr>
              <w:ind w:left="129"/>
              <w:spacing w:before="154" w:line="189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5"/>
              </w:rPr>
              <w:t>1.238</w:t>
            </w:r>
          </w:p>
        </w:tc>
        <w:tc>
          <w:tcPr>
            <w:tcW w:w="975" w:type="dxa"/>
            <w:vAlign w:val="top"/>
            <w:tcBorders>
              <w:top w:val="single" w:color="000000" w:sz="2" w:space="0"/>
            </w:tcBorders>
          </w:tcPr>
          <w:p>
            <w:pPr>
              <w:ind w:left="158"/>
              <w:spacing w:before="154" w:line="189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</w:p>
        </w:tc>
        <w:tc>
          <w:tcPr>
            <w:tcW w:w="1578" w:type="dxa"/>
            <w:vAlign w:val="top"/>
            <w:tcBorders>
              <w:top w:val="single" w:color="000000" w:sz="2" w:space="0"/>
            </w:tcBorders>
          </w:tcPr>
          <w:p>
            <w:pPr>
              <w:ind w:left="175"/>
              <w:spacing w:before="154" w:line="189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4"/>
              </w:rPr>
              <w:t>0.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4"/>
              </w:rPr>
              <w:t>19±113.47</w:t>
            </w:r>
          </w:p>
        </w:tc>
      </w:tr>
      <w:tr>
        <w:trPr>
          <w:trHeight w:val="452" w:hRule="atLeast"/>
        </w:trPr>
        <w:tc>
          <w:tcPr>
            <w:tcW w:w="2270" w:type="dxa"/>
            <w:vAlign w:val="top"/>
          </w:tcPr>
          <w:p>
            <w:pPr>
              <w:ind w:left="116"/>
              <w:spacing w:before="109" w:line="21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FangSong_GB2312" w:hAnsi="FangSong_GB2312" w:eastAsia="FangSong_GB2312" w:cs="FangSong_GB2312"/>
                <w:sz w:val="22"/>
                <w:szCs w:val="22"/>
                <w:b/>
                <w:bCs/>
                <w:spacing w:val="-12"/>
              </w:rPr>
              <w:t>镉（以</w:t>
            </w:r>
            <w:r>
              <w:rPr>
                <w:rFonts w:ascii="FangSong_GB2312" w:hAnsi="FangSong_GB2312" w:eastAsia="FangSong_GB2312" w:cs="FangSong_GB2312"/>
                <w:sz w:val="22"/>
                <w:szCs w:val="22"/>
                <w:spacing w:val="-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b/>
                <w:bCs/>
                <w:spacing w:val="-12"/>
              </w:rPr>
              <w:t>Cd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b/>
                <w:bCs/>
                <w:spacing w:val="13"/>
                <w:w w:val="101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2"/>
                <w:szCs w:val="22"/>
                <w:b/>
                <w:bCs/>
                <w:spacing w:val="-12"/>
              </w:rPr>
              <w:t>计</w:t>
            </w:r>
            <w:r>
              <w:rPr>
                <w:rFonts w:ascii="FangSong_GB2312" w:hAnsi="FangSong_GB2312" w:eastAsia="FangSong_GB2312" w:cs="FangSong_GB2312"/>
                <w:sz w:val="22"/>
                <w:szCs w:val="22"/>
                <w:b/>
                <w:bCs/>
                <w:spacing w:val="-78"/>
              </w:rPr>
              <w:t>），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b/>
                <w:bCs/>
                <w:spacing w:val="-12"/>
              </w:rPr>
              <w:t>mg/kg</w:t>
            </w:r>
          </w:p>
        </w:tc>
        <w:tc>
          <w:tcPr>
            <w:tcW w:w="1420" w:type="dxa"/>
            <w:vAlign w:val="top"/>
          </w:tcPr>
          <w:p>
            <w:pPr>
              <w:ind w:left="131"/>
              <w:spacing w:before="144" w:line="189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9"/>
              </w:rPr>
              <w:t>121</w:t>
            </w:r>
          </w:p>
        </w:tc>
        <w:tc>
          <w:tcPr>
            <w:tcW w:w="913" w:type="dxa"/>
            <w:vAlign w:val="top"/>
          </w:tcPr>
          <w:p>
            <w:pPr>
              <w:ind w:left="111"/>
              <w:spacing w:before="144" w:line="189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0.639</w:t>
            </w:r>
          </w:p>
        </w:tc>
        <w:tc>
          <w:tcPr>
            <w:tcW w:w="975" w:type="dxa"/>
            <w:vAlign w:val="top"/>
          </w:tcPr>
          <w:p>
            <w:pPr>
              <w:ind w:left="158"/>
              <w:spacing w:before="144" w:line="189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0.005</w:t>
            </w:r>
          </w:p>
        </w:tc>
        <w:tc>
          <w:tcPr>
            <w:tcW w:w="1578" w:type="dxa"/>
            <w:vAlign w:val="top"/>
          </w:tcPr>
          <w:p>
            <w:pPr>
              <w:ind w:left="175"/>
              <w:spacing w:before="144" w:line="189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4"/>
              </w:rPr>
              <w:t>0.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4"/>
              </w:rPr>
              <w:t>15±113.08</w:t>
            </w:r>
          </w:p>
        </w:tc>
      </w:tr>
      <w:tr>
        <w:trPr>
          <w:trHeight w:val="451" w:hRule="atLeast"/>
        </w:trPr>
        <w:tc>
          <w:tcPr>
            <w:tcW w:w="2270" w:type="dxa"/>
            <w:vAlign w:val="top"/>
          </w:tcPr>
          <w:p>
            <w:pPr>
              <w:ind w:left="122"/>
              <w:spacing w:before="111" w:line="21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FangSong_GB2312" w:hAnsi="FangSong_GB2312" w:eastAsia="FangSong_GB2312" w:cs="FangSong_GB2312"/>
                <w:sz w:val="22"/>
                <w:szCs w:val="22"/>
                <w:b/>
                <w:bCs/>
                <w:spacing w:val="-12"/>
              </w:rPr>
              <w:t>汞（以</w:t>
            </w:r>
            <w:r>
              <w:rPr>
                <w:rFonts w:ascii="FangSong_GB2312" w:hAnsi="FangSong_GB2312" w:eastAsia="FangSong_GB2312" w:cs="FangSong_GB2312"/>
                <w:sz w:val="22"/>
                <w:szCs w:val="22"/>
                <w:spacing w:val="-5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b/>
                <w:bCs/>
                <w:spacing w:val="-12"/>
              </w:rPr>
              <w:t>Hg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b/>
                <w:bCs/>
                <w:spacing w:val="12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2"/>
                <w:szCs w:val="22"/>
                <w:b/>
                <w:bCs/>
                <w:spacing w:val="-12"/>
              </w:rPr>
              <w:t>计</w:t>
            </w:r>
            <w:r>
              <w:rPr>
                <w:rFonts w:ascii="FangSong_GB2312" w:hAnsi="FangSong_GB2312" w:eastAsia="FangSong_GB2312" w:cs="FangSong_GB2312"/>
                <w:sz w:val="22"/>
                <w:szCs w:val="22"/>
                <w:b/>
                <w:bCs/>
                <w:spacing w:val="-78"/>
              </w:rPr>
              <w:t>），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b/>
                <w:bCs/>
                <w:spacing w:val="-12"/>
              </w:rPr>
              <w:t>mg/kg</w:t>
            </w:r>
          </w:p>
        </w:tc>
        <w:tc>
          <w:tcPr>
            <w:tcW w:w="1420" w:type="dxa"/>
            <w:vAlign w:val="top"/>
          </w:tcPr>
          <w:p>
            <w:pPr>
              <w:ind w:left="131"/>
              <w:spacing w:before="146" w:line="189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0"/>
              </w:rPr>
              <w:t>118</w:t>
            </w:r>
          </w:p>
        </w:tc>
        <w:tc>
          <w:tcPr>
            <w:tcW w:w="913" w:type="dxa"/>
            <w:vAlign w:val="top"/>
          </w:tcPr>
          <w:p>
            <w:pPr>
              <w:ind w:left="111"/>
              <w:spacing w:before="146" w:line="189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0.227</w:t>
            </w:r>
          </w:p>
        </w:tc>
        <w:tc>
          <w:tcPr>
            <w:tcW w:w="975" w:type="dxa"/>
            <w:vAlign w:val="top"/>
          </w:tcPr>
          <w:p>
            <w:pPr>
              <w:ind w:left="158"/>
              <w:spacing w:before="146" w:line="189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0.001</w:t>
            </w:r>
          </w:p>
        </w:tc>
        <w:tc>
          <w:tcPr>
            <w:tcW w:w="1578" w:type="dxa"/>
            <w:vAlign w:val="top"/>
          </w:tcPr>
          <w:p>
            <w:pPr>
              <w:ind w:left="175"/>
              <w:spacing w:before="146" w:line="189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0.05±90.28</w:t>
            </w:r>
          </w:p>
        </w:tc>
      </w:tr>
      <w:tr>
        <w:trPr>
          <w:trHeight w:val="454" w:hRule="atLeast"/>
        </w:trPr>
        <w:tc>
          <w:tcPr>
            <w:tcW w:w="2270" w:type="dxa"/>
            <w:vAlign w:val="top"/>
            <w:tcBorders>
              <w:bottom w:val="single" w:color="000000" w:sz="2" w:space="0"/>
            </w:tcBorders>
          </w:tcPr>
          <w:p>
            <w:pPr>
              <w:ind w:left="118"/>
              <w:spacing w:before="114" w:line="212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FangSong_GB2312" w:hAnsi="FangSong_GB2312" w:eastAsia="FangSong_GB2312" w:cs="FangSong_GB2312"/>
                <w:sz w:val="22"/>
                <w:szCs w:val="22"/>
                <w:b/>
                <w:bCs/>
                <w:spacing w:val="-10"/>
              </w:rPr>
              <w:t>砷（以</w:t>
            </w:r>
            <w:r>
              <w:rPr>
                <w:rFonts w:ascii="FangSong_GB2312" w:hAnsi="FangSong_GB2312" w:eastAsia="FangSong_GB2312" w:cs="FangSong_GB2312"/>
                <w:sz w:val="22"/>
                <w:szCs w:val="22"/>
                <w:spacing w:val="-5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b/>
                <w:bCs/>
                <w:spacing w:val="-10"/>
              </w:rPr>
              <w:t>As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b/>
                <w:bCs/>
                <w:spacing w:val="15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2"/>
                <w:szCs w:val="22"/>
                <w:b/>
                <w:bCs/>
                <w:spacing w:val="-10"/>
              </w:rPr>
              <w:t>计</w:t>
            </w:r>
            <w:r>
              <w:rPr>
                <w:rFonts w:ascii="FangSong_GB2312" w:hAnsi="FangSong_GB2312" w:eastAsia="FangSong_GB2312" w:cs="FangSong_GB2312"/>
                <w:sz w:val="22"/>
                <w:szCs w:val="22"/>
                <w:b/>
                <w:bCs/>
                <w:spacing w:val="-69"/>
              </w:rPr>
              <w:t>），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b/>
                <w:bCs/>
                <w:spacing w:val="-10"/>
              </w:rPr>
              <w:t>mg/kg</w:t>
            </w:r>
          </w:p>
        </w:tc>
        <w:tc>
          <w:tcPr>
            <w:tcW w:w="1420" w:type="dxa"/>
            <w:vAlign w:val="top"/>
            <w:tcBorders>
              <w:bottom w:val="single" w:color="000000" w:sz="2" w:space="0"/>
            </w:tcBorders>
          </w:tcPr>
          <w:p>
            <w:pPr>
              <w:ind w:left="131"/>
              <w:spacing w:before="148" w:line="189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9"/>
              </w:rPr>
              <w:t>120</w:t>
            </w:r>
          </w:p>
        </w:tc>
        <w:tc>
          <w:tcPr>
            <w:tcW w:w="913" w:type="dxa"/>
            <w:vAlign w:val="top"/>
            <w:tcBorders>
              <w:bottom w:val="single" w:color="000000" w:sz="2" w:space="0"/>
            </w:tcBorders>
          </w:tcPr>
          <w:p>
            <w:pPr>
              <w:ind w:left="129"/>
              <w:spacing w:before="148" w:line="189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5"/>
              </w:rPr>
              <w:t>1.044</w:t>
            </w:r>
          </w:p>
        </w:tc>
        <w:tc>
          <w:tcPr>
            <w:tcW w:w="975" w:type="dxa"/>
            <w:vAlign w:val="top"/>
            <w:tcBorders>
              <w:bottom w:val="single" w:color="000000" w:sz="2" w:space="0"/>
            </w:tcBorders>
          </w:tcPr>
          <w:p>
            <w:pPr>
              <w:ind w:left="158"/>
              <w:spacing w:before="148" w:line="189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0.004</w:t>
            </w:r>
          </w:p>
        </w:tc>
        <w:tc>
          <w:tcPr>
            <w:tcW w:w="1578" w:type="dxa"/>
            <w:vAlign w:val="top"/>
            <w:tcBorders>
              <w:bottom w:val="single" w:color="000000" w:sz="2" w:space="0"/>
            </w:tcBorders>
          </w:tcPr>
          <w:p>
            <w:pPr>
              <w:ind w:left="175"/>
              <w:spacing w:before="148" w:line="189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4"/>
              </w:rPr>
              <w:t>0.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4"/>
              </w:rPr>
              <w:t>1±159.36</w:t>
            </w:r>
          </w:p>
        </w:tc>
      </w:tr>
    </w:tbl>
    <w:p>
      <w:pPr>
        <w:pStyle w:val="BodyText"/>
        <w:spacing w:line="437" w:lineRule="auto"/>
        <w:rPr/>
      </w:pPr>
      <w:r/>
    </w:p>
    <w:p>
      <w:pPr>
        <w:ind w:left="24"/>
        <w:spacing w:before="91" w:line="227" w:lineRule="auto"/>
        <w:outlineLvl w:val="1"/>
        <w:rPr>
          <w:rFonts w:ascii="KaiTi" w:hAnsi="KaiTi" w:eastAsia="KaiTi" w:cs="KaiTi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7</w:t>
      </w:r>
      <w:r>
        <w:rPr>
          <w:rFonts w:ascii="Times New Roman" w:hAnsi="Times New Roman" w:eastAsia="Times New Roman" w:cs="Times New Roman"/>
          <w:sz w:val="28"/>
          <w:szCs w:val="28"/>
          <w:spacing w:val="-41"/>
        </w:rPr>
        <w:t xml:space="preserve"> </w:t>
      </w:r>
      <w:r>
        <w:rPr>
          <w:rFonts w:ascii="KaiTi" w:hAnsi="KaiTi" w:eastAsia="KaiTi" w:cs="KaiTi"/>
          <w:sz w:val="28"/>
          <w:szCs w:val="28"/>
          <w:spacing w:val="-5"/>
        </w:rPr>
        <w:t>、农药残留限量</w:t>
      </w:r>
    </w:p>
    <w:p>
      <w:pPr>
        <w:ind w:left="23" w:right="13" w:firstLine="598"/>
        <w:spacing w:before="216" w:line="36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由于本标准为食品安全标准，因此规定农药残留参考了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《食品安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全国家标准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食品中农药最大残留限量》（</w:t>
      </w:r>
      <w:r>
        <w:rPr>
          <w:rFonts w:ascii="Times New Roman" w:hAnsi="Times New Roman" w:eastAsia="Times New Roman" w:cs="Times New Roman"/>
          <w:sz w:val="28"/>
          <w:szCs w:val="28"/>
        </w:rPr>
        <w:t>GB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2763-2019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）中的规定</w:t>
      </w:r>
      <w:r>
        <w:rPr>
          <w:rFonts w:ascii="FangSong_GB2312" w:hAnsi="FangSong_GB2312" w:eastAsia="FangSong_GB2312" w:cs="FangSong_GB2312"/>
          <w:sz w:val="28"/>
          <w:szCs w:val="28"/>
          <w:spacing w:val="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以及农业农村部的相关规定。</w:t>
      </w:r>
    </w:p>
    <w:p>
      <w:pPr>
        <w:ind w:left="32"/>
        <w:spacing w:before="154" w:line="222" w:lineRule="auto"/>
        <w:outlineLvl w:val="0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2"/>
        </w:rPr>
        <w:t>五、征求意见的采纳情况</w:t>
      </w:r>
    </w:p>
    <w:p>
      <w:pPr>
        <w:pStyle w:val="BodyText"/>
        <w:spacing w:line="284" w:lineRule="auto"/>
        <w:rPr/>
      </w:pPr>
      <w:r/>
    </w:p>
    <w:p>
      <w:pPr>
        <w:ind w:left="29" w:right="13" w:firstLine="556"/>
        <w:spacing w:before="92" w:line="370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起草单位在提交专委会审查前，已向社会广泛征集意见，时间为</w:t>
      </w:r>
      <w:r>
        <w:rPr>
          <w:rFonts w:ascii="FangSong_GB2312" w:hAnsi="FangSong_GB2312" w:eastAsia="FangSong_GB2312" w:cs="FangSong_GB2312"/>
          <w:sz w:val="28"/>
          <w:szCs w:val="28"/>
          <w:spacing w:val="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期</w:t>
      </w:r>
      <w:r>
        <w:rPr>
          <w:rFonts w:ascii="FangSong_GB2312" w:hAnsi="FangSong_GB2312" w:eastAsia="FangSong_GB2312" w:cs="FangSong_GB2312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个月，未收到相关意见建议。</w:t>
      </w:r>
    </w:p>
    <w:p>
      <w:pPr>
        <w:ind w:left="33"/>
        <w:spacing w:before="155" w:line="222" w:lineRule="auto"/>
        <w:outlineLvl w:val="0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3"/>
        </w:rPr>
        <w:t>六、重大意见分歧</w:t>
      </w:r>
    </w:p>
    <w:p>
      <w:pPr>
        <w:pStyle w:val="BodyText"/>
        <w:spacing w:line="288" w:lineRule="auto"/>
        <w:rPr/>
      </w:pPr>
      <w:r/>
    </w:p>
    <w:p>
      <w:pPr>
        <w:ind w:left="596"/>
        <w:spacing w:before="92" w:line="213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暂无重大意见分歧。</w:t>
      </w:r>
    </w:p>
    <w:p>
      <w:pPr>
        <w:spacing w:line="213" w:lineRule="auto"/>
        <w:sectPr>
          <w:footerReference w:type="default" r:id="rId48"/>
          <w:pgSz w:w="11906" w:h="16839"/>
          <w:pgMar w:top="400" w:right="1785" w:bottom="1362" w:left="1785" w:header="0" w:footer="1200" w:gutter="0"/>
        </w:sectPr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ind w:left="36"/>
        <w:spacing w:before="78" w:line="222" w:lineRule="auto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2"/>
        </w:rPr>
        <w:t>附件：1.</w:t>
      </w:r>
      <w:r>
        <w:rPr>
          <w:rFonts w:ascii="SimHei" w:hAnsi="SimHei" w:eastAsia="SimHei" w:cs="SimHei"/>
          <w:sz w:val="24"/>
          <w:szCs w:val="24"/>
          <w:spacing w:val="-2"/>
        </w:rPr>
        <w:t xml:space="preserve"> </w:t>
      </w:r>
      <w:r>
        <w:rPr>
          <w:rFonts w:ascii="SimHei" w:hAnsi="SimHei" w:eastAsia="SimHei" w:cs="SimHei"/>
          <w:sz w:val="24"/>
          <w:szCs w:val="24"/>
          <w:spacing w:val="-2"/>
        </w:rPr>
        <w:t>检测数据汇总表。</w:t>
      </w:r>
    </w:p>
    <w:p>
      <w:pPr>
        <w:ind w:left="741"/>
        <w:spacing w:before="71" w:line="222" w:lineRule="auto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1"/>
        </w:rPr>
        <w:t>2.</w:t>
      </w:r>
      <w:r>
        <w:rPr>
          <w:rFonts w:ascii="SimHei" w:hAnsi="SimHei" w:eastAsia="SimHei" w:cs="SimHei"/>
          <w:sz w:val="24"/>
          <w:szCs w:val="24"/>
          <w:spacing w:val="-1"/>
        </w:rPr>
        <w:t xml:space="preserve"> </w:t>
      </w:r>
      <w:r>
        <w:rPr>
          <w:rFonts w:ascii="SimHei" w:hAnsi="SimHei" w:eastAsia="SimHei" w:cs="SimHei"/>
          <w:sz w:val="24"/>
          <w:szCs w:val="24"/>
          <w:spacing w:val="-1"/>
        </w:rPr>
        <w:t>相关标准理化指标对比表。</w:t>
      </w:r>
    </w:p>
    <w:p>
      <w:pPr>
        <w:spacing w:line="222" w:lineRule="auto"/>
        <w:sectPr>
          <w:footerReference w:type="default" r:id="rId49"/>
          <w:pgSz w:w="11906" w:h="16839"/>
          <w:pgMar w:top="400" w:right="1785" w:bottom="1362" w:left="1785" w:header="0" w:footer="1200" w:gutter="0"/>
        </w:sectPr>
        <w:rPr>
          <w:rFonts w:ascii="SimHei" w:hAnsi="SimHei" w:eastAsia="SimHei" w:cs="SimHei"/>
          <w:sz w:val="24"/>
          <w:szCs w:val="24"/>
        </w:rPr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22"/>
        <w:spacing w:before="103" w:line="199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附件</w:t>
      </w:r>
      <w:r>
        <w:rPr>
          <w:rFonts w:ascii="Microsoft YaHei" w:hAnsi="Microsoft YaHei" w:eastAsia="Microsoft YaHei" w:cs="Microsoft YaHei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1 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检测数据汇总表</w:t>
      </w:r>
    </w:p>
    <w:p>
      <w:pPr>
        <w:spacing w:line="105" w:lineRule="exact"/>
        <w:rPr/>
      </w:pPr>
      <w:r/>
    </w:p>
    <w:tbl>
      <w:tblPr>
        <w:tblStyle w:val="TableNormal"/>
        <w:tblW w:w="1417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86"/>
        <w:gridCol w:w="1181"/>
        <w:gridCol w:w="1181"/>
        <w:gridCol w:w="1180"/>
        <w:gridCol w:w="1181"/>
        <w:gridCol w:w="1180"/>
        <w:gridCol w:w="1181"/>
        <w:gridCol w:w="1180"/>
        <w:gridCol w:w="1181"/>
        <w:gridCol w:w="1181"/>
        <w:gridCol w:w="1181"/>
        <w:gridCol w:w="1185"/>
      </w:tblGrid>
      <w:tr>
        <w:trPr>
          <w:trHeight w:val="321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13"/>
              <w:spacing w:before="72" w:line="221" w:lineRule="auto"/>
              <w:rPr/>
            </w:pPr>
            <w:r>
              <w:rPr>
                <w:spacing w:val="-4"/>
              </w:rPr>
              <w:t>序号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1"/>
              <w:spacing w:before="72" w:line="219" w:lineRule="auto"/>
              <w:rPr/>
            </w:pPr>
            <w:r>
              <w:rPr>
                <w:spacing w:val="-2"/>
              </w:rPr>
              <w:t>样品名称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2" w:line="221" w:lineRule="auto"/>
              <w:rPr/>
            </w:pPr>
            <w:r>
              <w:rPr>
                <w:spacing w:val="-2"/>
              </w:rPr>
              <w:t>栽培方式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0"/>
              <w:spacing w:before="72" w:line="219" w:lineRule="auto"/>
              <w:rPr/>
            </w:pPr>
            <w:r>
              <w:rPr>
                <w:spacing w:val="-2"/>
              </w:rPr>
              <w:t>样品来源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4"/>
              <w:spacing w:before="72" w:line="219" w:lineRule="auto"/>
              <w:rPr/>
            </w:pPr>
            <w:r>
              <w:rPr>
                <w:spacing w:val="-2"/>
              </w:rPr>
              <w:t>水分（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%</w:t>
            </w:r>
            <w:r>
              <w:rPr>
                <w:spacing w:val="-2"/>
              </w:rPr>
              <w:t>）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2" w:line="219" w:lineRule="auto"/>
              <w:rPr/>
            </w:pPr>
            <w:r>
              <w:rPr>
                <w:spacing w:val="-2"/>
              </w:rPr>
              <w:t>灰分（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%</w:t>
            </w:r>
            <w:r>
              <w:rPr>
                <w:spacing w:val="-2"/>
              </w:rPr>
              <w:t>）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21"/>
              <w:spacing w:before="72" w:line="220" w:lineRule="auto"/>
              <w:rPr/>
            </w:pPr>
            <w:r>
              <w:rPr>
                <w:spacing w:val="-4"/>
              </w:rPr>
              <w:t>多糖（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%</w:t>
            </w:r>
            <w:r>
              <w:rPr>
                <w:spacing w:val="-4"/>
              </w:rPr>
              <w:t>）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2"/>
              <w:spacing w:before="72" w:line="219" w:lineRule="auto"/>
              <w:rPr/>
            </w:pPr>
            <w:r>
              <w:rPr>
                <w:spacing w:val="-2"/>
              </w:rPr>
              <w:t>三萜及甾醇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72" w:line="210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As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  <w:r>
              <w:rPr>
                <w:spacing w:val="-1"/>
              </w:rPr>
              <w:t>）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5"/>
              <w:spacing w:before="72" w:line="210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Cd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  <w:r>
              <w:rPr>
                <w:spacing w:val="-1"/>
              </w:rPr>
              <w:t>）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1"/>
              <w:spacing w:before="72" w:line="210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Hg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  <w:r>
              <w:rPr>
                <w:spacing w:val="-1"/>
              </w:rPr>
              <w:t>）</w:t>
            </w:r>
          </w:p>
        </w:tc>
        <w:tc>
          <w:tcPr>
            <w:tcW w:w="1185" w:type="dxa"/>
            <w:vAlign w:val="top"/>
          </w:tcPr>
          <w:p>
            <w:pPr>
              <w:pStyle w:val="TableText"/>
              <w:ind w:left="111"/>
              <w:spacing w:before="72" w:line="210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Pb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  <w:r>
              <w:rPr>
                <w:spacing w:val="-1"/>
              </w:rPr>
              <w:t>）</w:t>
            </w:r>
          </w:p>
        </w:tc>
      </w:tr>
      <w:tr>
        <w:trPr>
          <w:trHeight w:val="316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68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68" w:line="219" w:lineRule="auto"/>
              <w:rPr/>
            </w:pPr>
            <w:r>
              <w:rPr>
                <w:spacing w:val="-4"/>
              </w:rPr>
              <w:t>代料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67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6"/>
              </w:rPr>
              <w:t>14.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6"/>
              </w:rPr>
              <w:t>1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1.19</w:t>
            </w:r>
          </w:p>
        </w:tc>
        <w:tc>
          <w:tcPr>
            <w:tcW w:w="1180" w:type="dxa"/>
            <w:vAlign w:val="top"/>
          </w:tcPr>
          <w:p>
            <w:pPr>
              <w:ind w:left="105"/>
              <w:spacing w:before="93" w:line="192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/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0.004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0.167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0.106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0.449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1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68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68" w:line="219" w:lineRule="auto"/>
              <w:rPr/>
            </w:pPr>
            <w:r>
              <w:rPr>
                <w:spacing w:val="-4"/>
              </w:rPr>
              <w:t>代料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68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6.3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1.3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1.02</w:t>
            </w:r>
          </w:p>
        </w:tc>
        <w:tc>
          <w:tcPr>
            <w:tcW w:w="1180" w:type="dxa"/>
            <w:vAlign w:val="top"/>
          </w:tcPr>
          <w:p>
            <w:pPr>
              <w:ind w:left="105"/>
              <w:spacing w:before="94" w:line="192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/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0.27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0.041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0.196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68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68" w:line="219" w:lineRule="auto"/>
              <w:rPr/>
            </w:pPr>
            <w:r>
              <w:rPr>
                <w:spacing w:val="-4"/>
              </w:rPr>
              <w:t>代料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67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6"/>
              </w:rPr>
              <w:t>10.9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3.2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1.01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0.68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0.22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0.259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0.033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0.053</w:t>
            </w:r>
          </w:p>
        </w:tc>
      </w:tr>
      <w:tr>
        <w:trPr>
          <w:trHeight w:val="316" w:hRule="atLeast"/>
        </w:trPr>
        <w:tc>
          <w:tcPr>
            <w:tcW w:w="1186" w:type="dxa"/>
            <w:vAlign w:val="top"/>
          </w:tcPr>
          <w:p>
            <w:pPr>
              <w:ind w:left="110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68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68" w:line="219" w:lineRule="auto"/>
              <w:rPr/>
            </w:pPr>
            <w:r>
              <w:rPr>
                <w:spacing w:val="-4"/>
              </w:rPr>
              <w:t>代料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67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6.3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1.32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0.73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</w:t>
            </w:r>
          </w:p>
        </w:tc>
        <w:tc>
          <w:tcPr>
            <w:tcW w:w="1181" w:type="dxa"/>
            <w:vAlign w:val="top"/>
          </w:tcPr>
          <w:p>
            <w:pPr>
              <w:ind w:left="106"/>
              <w:spacing w:before="101" w:line="185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1"/>
              </w:rPr>
              <w:t>ND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0.07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6"/>
              <w:spacing w:before="102" w:line="185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68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68" w:line="219" w:lineRule="auto"/>
              <w:rPr/>
            </w:pPr>
            <w:r>
              <w:rPr>
                <w:spacing w:val="-4"/>
              </w:rPr>
              <w:t>代料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68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1.5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0.88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0.06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0.16</w:t>
            </w:r>
          </w:p>
        </w:tc>
      </w:tr>
      <w:tr>
        <w:trPr>
          <w:trHeight w:val="316" w:hRule="atLeast"/>
        </w:trPr>
        <w:tc>
          <w:tcPr>
            <w:tcW w:w="1186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0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70" w:line="219" w:lineRule="auto"/>
              <w:rPr/>
            </w:pPr>
            <w:r>
              <w:rPr>
                <w:spacing w:val="-4"/>
              </w:rPr>
              <w:t>代料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0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3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5.3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1.3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1.46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0.21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0.07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0.18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102" w:line="185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71" w:line="219" w:lineRule="auto"/>
              <w:rPr/>
            </w:pPr>
            <w:r>
              <w:rPr>
                <w:spacing w:val="-4"/>
              </w:rPr>
              <w:t>代料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0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1"/>
              <w:spacing w:before="102" w:line="185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1.9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1.18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1.01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0.25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8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0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70" w:line="219" w:lineRule="auto"/>
              <w:rPr/>
            </w:pPr>
            <w:r>
              <w:rPr>
                <w:spacing w:val="-4"/>
              </w:rPr>
              <w:t>代料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0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6.6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3.9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1.13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0.09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0.18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0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70" w:line="219" w:lineRule="auto"/>
              <w:rPr/>
            </w:pPr>
            <w:r>
              <w:rPr>
                <w:spacing w:val="-4"/>
              </w:rPr>
              <w:t>代料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69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1"/>
              <w:spacing w:before="104" w:line="185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7.5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1.2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1.03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</w:t>
            </w:r>
          </w:p>
        </w:tc>
        <w:tc>
          <w:tcPr>
            <w:tcW w:w="1181" w:type="dxa"/>
            <w:vAlign w:val="top"/>
          </w:tcPr>
          <w:p>
            <w:pPr>
              <w:ind w:left="106"/>
              <w:spacing w:before="104" w:line="185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1"/>
              </w:rPr>
              <w:t>ND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0.029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0.059</w:t>
            </w:r>
          </w:p>
        </w:tc>
      </w:tr>
      <w:tr>
        <w:trPr>
          <w:trHeight w:val="316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0"/>
              </w:rPr>
              <w:t>10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0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70" w:line="219" w:lineRule="auto"/>
              <w:rPr/>
            </w:pPr>
            <w:r>
              <w:rPr>
                <w:spacing w:val="-4"/>
              </w:rPr>
              <w:t>代料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0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08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1.4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1.04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1"/>
              </w:rPr>
              <w:t>1.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1"/>
              </w:rPr>
              <w:t>12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0.03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0.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14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1"/>
              </w:rPr>
              <w:t>11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0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70" w:line="219" w:lineRule="auto"/>
              <w:rPr/>
            </w:pPr>
            <w:r>
              <w:rPr>
                <w:spacing w:val="-4"/>
              </w:rPr>
              <w:t>代料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0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6"/>
              </w:rPr>
              <w:t>10.6</w:t>
            </w:r>
          </w:p>
        </w:tc>
        <w:tc>
          <w:tcPr>
            <w:tcW w:w="1180" w:type="dxa"/>
            <w:vAlign w:val="top"/>
          </w:tcPr>
          <w:p>
            <w:pPr>
              <w:ind w:left="108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2.3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0.76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0.5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0.11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0.08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0"/>
              </w:rPr>
              <w:t>12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2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72" w:line="219" w:lineRule="auto"/>
              <w:rPr/>
            </w:pPr>
            <w:r>
              <w:rPr>
                <w:spacing w:val="-4"/>
              </w:rPr>
              <w:t>代料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2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3"/>
              <w:spacing w:before="103" w:line="185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5.7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1.7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1.2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0.95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0.047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0.041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0.028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0.218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0"/>
              </w:rPr>
              <w:t>13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2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72" w:line="219" w:lineRule="auto"/>
              <w:rPr/>
            </w:pPr>
            <w:r>
              <w:rPr>
                <w:spacing w:val="-4"/>
              </w:rPr>
              <w:t>代料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2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1"/>
              <w:spacing w:before="103" w:line="185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7.7</w:t>
            </w:r>
          </w:p>
        </w:tc>
        <w:tc>
          <w:tcPr>
            <w:tcW w:w="1180" w:type="dxa"/>
            <w:vAlign w:val="top"/>
          </w:tcPr>
          <w:p>
            <w:pPr>
              <w:ind w:left="108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0.97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0.087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0.123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0.071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0.209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0"/>
              </w:rPr>
              <w:t>14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1"/>
              <w:spacing w:before="62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代料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6.20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1.30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1.31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1.24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0.114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0.014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0.015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0.044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0"/>
              </w:rPr>
              <w:t>15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1"/>
              <w:spacing w:before="62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代料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6.50</w:t>
            </w:r>
          </w:p>
        </w:tc>
        <w:tc>
          <w:tcPr>
            <w:tcW w:w="1180" w:type="dxa"/>
            <w:vAlign w:val="top"/>
          </w:tcPr>
          <w:p>
            <w:pPr>
              <w:ind w:left="108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2.30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0.94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1.28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0.08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0.015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0.066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0"/>
              </w:rPr>
              <w:t>16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1"/>
              <w:spacing w:before="61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代料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3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5.60</w:t>
            </w:r>
          </w:p>
        </w:tc>
        <w:tc>
          <w:tcPr>
            <w:tcW w:w="1180" w:type="dxa"/>
            <w:vAlign w:val="top"/>
          </w:tcPr>
          <w:p>
            <w:pPr>
              <w:ind w:left="108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2.30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0.92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1.28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0.15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0.029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0.115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0"/>
              </w:rPr>
              <w:t>17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0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0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8.5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1.2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1.56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0.79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0.207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0.517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0.018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0.817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0"/>
              </w:rPr>
              <w:t>18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2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2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3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5.6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1.2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1.02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1.33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0.993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0.588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0.015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0.566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0"/>
              </w:rPr>
              <w:t>19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2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2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6.4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1.5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0.85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0.005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0.006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0.001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0.016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1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20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1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6.9</w:t>
            </w:r>
          </w:p>
        </w:tc>
        <w:tc>
          <w:tcPr>
            <w:tcW w:w="1180" w:type="dxa"/>
            <w:vAlign w:val="top"/>
          </w:tcPr>
          <w:p>
            <w:pPr>
              <w:ind w:left="108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1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1.25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1.54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0.378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0.105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0.002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0.104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1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21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0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6.8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1.07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1.31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0.017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0.026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0.013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0.161</w:t>
            </w:r>
          </w:p>
        </w:tc>
      </w:tr>
      <w:tr>
        <w:trPr>
          <w:trHeight w:val="319" w:hRule="atLeast"/>
        </w:trPr>
        <w:tc>
          <w:tcPr>
            <w:tcW w:w="1186" w:type="dxa"/>
            <w:vAlign w:val="top"/>
          </w:tcPr>
          <w:p>
            <w:pPr>
              <w:ind w:left="111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22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0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6.2</w:t>
            </w:r>
          </w:p>
        </w:tc>
        <w:tc>
          <w:tcPr>
            <w:tcW w:w="1180" w:type="dxa"/>
            <w:vAlign w:val="top"/>
          </w:tcPr>
          <w:p>
            <w:pPr>
              <w:ind w:left="107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4.2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1.21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0.069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0.177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0.001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0.137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0"/>
          <w:pgSz w:w="16839" w:h="11906"/>
          <w:pgMar w:top="400" w:right="1214" w:bottom="1362" w:left="1440" w:header="0" w:footer="1200" w:gutter="0"/>
        </w:sectPr>
        <w:rPr/>
      </w:pPr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7"/>
        <w:rPr/>
      </w:pPr>
      <w:r/>
    </w:p>
    <w:tbl>
      <w:tblPr>
        <w:tblStyle w:val="TableNormal"/>
        <w:tblW w:w="1417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86"/>
        <w:gridCol w:w="1181"/>
        <w:gridCol w:w="1181"/>
        <w:gridCol w:w="1180"/>
        <w:gridCol w:w="1181"/>
        <w:gridCol w:w="1180"/>
        <w:gridCol w:w="1181"/>
        <w:gridCol w:w="1180"/>
        <w:gridCol w:w="1181"/>
        <w:gridCol w:w="1181"/>
        <w:gridCol w:w="1181"/>
        <w:gridCol w:w="1185"/>
      </w:tblGrid>
      <w:tr>
        <w:trPr>
          <w:trHeight w:val="321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13"/>
              <w:spacing w:before="72" w:line="221" w:lineRule="auto"/>
              <w:rPr/>
            </w:pPr>
            <w:r>
              <w:rPr>
                <w:spacing w:val="-4"/>
              </w:rPr>
              <w:t>序号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1"/>
              <w:spacing w:before="72" w:line="219" w:lineRule="auto"/>
              <w:rPr/>
            </w:pPr>
            <w:r>
              <w:rPr>
                <w:spacing w:val="-2"/>
              </w:rPr>
              <w:t>样品名称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2" w:line="221" w:lineRule="auto"/>
              <w:rPr/>
            </w:pPr>
            <w:r>
              <w:rPr>
                <w:spacing w:val="-2"/>
              </w:rPr>
              <w:t>栽培方式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0"/>
              <w:spacing w:before="72" w:line="219" w:lineRule="auto"/>
              <w:rPr/>
            </w:pPr>
            <w:r>
              <w:rPr>
                <w:spacing w:val="-2"/>
              </w:rPr>
              <w:t>样品来源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4"/>
              <w:spacing w:before="72" w:line="219" w:lineRule="auto"/>
              <w:rPr/>
            </w:pPr>
            <w:r>
              <w:rPr>
                <w:spacing w:val="-2"/>
              </w:rPr>
              <w:t>水分（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%</w:t>
            </w:r>
            <w:r>
              <w:rPr>
                <w:spacing w:val="-2"/>
              </w:rPr>
              <w:t>）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2" w:line="219" w:lineRule="auto"/>
              <w:rPr/>
            </w:pPr>
            <w:r>
              <w:rPr>
                <w:spacing w:val="-2"/>
              </w:rPr>
              <w:t>灰分（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%</w:t>
            </w:r>
            <w:r>
              <w:rPr>
                <w:spacing w:val="-2"/>
              </w:rPr>
              <w:t>）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21"/>
              <w:spacing w:before="72" w:line="220" w:lineRule="auto"/>
              <w:rPr/>
            </w:pPr>
            <w:r>
              <w:rPr>
                <w:spacing w:val="-4"/>
              </w:rPr>
              <w:t>多糖（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%</w:t>
            </w:r>
            <w:r>
              <w:rPr>
                <w:spacing w:val="-4"/>
              </w:rPr>
              <w:t>）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2"/>
              <w:spacing w:before="72" w:line="219" w:lineRule="auto"/>
              <w:rPr/>
            </w:pPr>
            <w:r>
              <w:rPr>
                <w:spacing w:val="-2"/>
              </w:rPr>
              <w:t>三萜及甾醇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72" w:line="210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As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  <w:r>
              <w:rPr>
                <w:spacing w:val="-1"/>
              </w:rPr>
              <w:t>）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5"/>
              <w:spacing w:before="72" w:line="210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Cd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  <w:r>
              <w:rPr>
                <w:spacing w:val="-1"/>
              </w:rPr>
              <w:t>）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1"/>
              <w:spacing w:before="72" w:line="210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Hg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  <w:r>
              <w:rPr>
                <w:spacing w:val="-1"/>
              </w:rPr>
              <w:t>）</w:t>
            </w:r>
          </w:p>
        </w:tc>
        <w:tc>
          <w:tcPr>
            <w:tcW w:w="1185" w:type="dxa"/>
            <w:vAlign w:val="top"/>
          </w:tcPr>
          <w:p>
            <w:pPr>
              <w:pStyle w:val="TableText"/>
              <w:ind w:left="111"/>
              <w:spacing w:before="72" w:line="210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Pb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  <w:r>
              <w:rPr>
                <w:spacing w:val="-1"/>
              </w:rPr>
              <w:t>）</w:t>
            </w:r>
          </w:p>
        </w:tc>
      </w:tr>
      <w:tr>
        <w:trPr>
          <w:trHeight w:val="316" w:hRule="atLeast"/>
        </w:trPr>
        <w:tc>
          <w:tcPr>
            <w:tcW w:w="1186" w:type="dxa"/>
            <w:vAlign w:val="top"/>
          </w:tcPr>
          <w:p>
            <w:pPr>
              <w:ind w:left="111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23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68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68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1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7.3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1.23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1.21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0.112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0.134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0.055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0.48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1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24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68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68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3"/>
              <w:spacing w:before="100" w:line="185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5.5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3.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1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1.25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0.028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0.07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0.048</w:t>
            </w:r>
          </w:p>
        </w:tc>
      </w:tr>
      <w:tr>
        <w:trPr>
          <w:trHeight w:val="316" w:hRule="atLeast"/>
        </w:trPr>
        <w:tc>
          <w:tcPr>
            <w:tcW w:w="1186" w:type="dxa"/>
            <w:vAlign w:val="top"/>
          </w:tcPr>
          <w:p>
            <w:pPr>
              <w:ind w:left="111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25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68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67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6.3</w:t>
            </w:r>
          </w:p>
        </w:tc>
        <w:tc>
          <w:tcPr>
            <w:tcW w:w="1180" w:type="dxa"/>
            <w:vAlign w:val="top"/>
          </w:tcPr>
          <w:p>
            <w:pPr>
              <w:ind w:left="108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2.7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1.03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1"/>
              </w:rPr>
              <w:t>1.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1"/>
              </w:rPr>
              <w:t>12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0.006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0.043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0.012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6"/>
              </w:rPr>
              <w:t>0.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6"/>
              </w:rPr>
              <w:t>144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1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26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69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69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1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7.6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1.43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0.029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0.003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0.043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1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27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68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68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1.3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1.46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1.29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0.074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0.525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0.023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0.205</w:t>
            </w:r>
          </w:p>
        </w:tc>
      </w:tr>
      <w:tr>
        <w:trPr>
          <w:trHeight w:val="316" w:hRule="atLeast"/>
        </w:trPr>
        <w:tc>
          <w:tcPr>
            <w:tcW w:w="1186" w:type="dxa"/>
            <w:vAlign w:val="top"/>
          </w:tcPr>
          <w:p>
            <w:pPr>
              <w:ind w:left="111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28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0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0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6.8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1.2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0.97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0.004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0.018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0.167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0.449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1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29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1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7.9</w:t>
            </w:r>
          </w:p>
        </w:tc>
        <w:tc>
          <w:tcPr>
            <w:tcW w:w="1180" w:type="dxa"/>
            <w:vAlign w:val="top"/>
          </w:tcPr>
          <w:p>
            <w:pPr>
              <w:ind w:left="108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2.4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1.19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1.15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0.046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0.011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0.013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0.041</w:t>
            </w:r>
          </w:p>
        </w:tc>
      </w:tr>
      <w:tr>
        <w:trPr>
          <w:trHeight w:val="316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30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0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0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6.6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1.06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0.069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0.021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0.032</w:t>
            </w:r>
          </w:p>
        </w:tc>
        <w:tc>
          <w:tcPr>
            <w:tcW w:w="1185" w:type="dxa"/>
            <w:vAlign w:val="top"/>
          </w:tcPr>
          <w:p>
            <w:pPr>
              <w:ind w:left="106"/>
              <w:spacing w:before="102" w:line="185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1"/>
              </w:rPr>
              <w:t>ND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31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6.7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0.87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1.15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0.069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0.422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0.036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0.065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32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1"/>
              <w:spacing w:before="104" w:line="185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0.94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0.079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0.075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0.102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33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0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0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8.2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1.2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0.96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1.17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0.083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0.309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0.007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6"/>
              </w:rPr>
              <w:t>0.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6"/>
              </w:rPr>
              <w:t>121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34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2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2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0.95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1.085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0.069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0.254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0.03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0.773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35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2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2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1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7.4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0.93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1.21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0.015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0.033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0.031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36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8.2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1.2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0.99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1.375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0.083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0.015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0.031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0.047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37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8.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1.09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1.32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0.038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0.287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0.042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0.049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38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6"/>
              </w:rPr>
              <w:t>10.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6"/>
              </w:rPr>
              <w:t>1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1.2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1"/>
              </w:rPr>
              <w:t>1.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1"/>
              </w:rPr>
              <w:t>12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1.065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0.06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0.177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0.027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0.082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39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0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0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6.5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1.15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0.117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0.142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0.044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0.099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0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40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2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2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1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7.4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1.03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0.009</w:t>
            </w:r>
          </w:p>
        </w:tc>
        <w:tc>
          <w:tcPr>
            <w:tcW w:w="1181" w:type="dxa"/>
            <w:vAlign w:val="top"/>
          </w:tcPr>
          <w:p>
            <w:pPr>
              <w:ind w:left="106"/>
              <w:spacing w:before="103" w:line="185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1"/>
              </w:rPr>
              <w:t>ND</w:t>
            </w:r>
          </w:p>
        </w:tc>
        <w:tc>
          <w:tcPr>
            <w:tcW w:w="1181" w:type="dxa"/>
            <w:vAlign w:val="top"/>
          </w:tcPr>
          <w:p>
            <w:pPr>
              <w:ind w:left="106"/>
              <w:spacing w:before="103" w:line="185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1"/>
              </w:rPr>
              <w:t>ND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0.013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0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41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2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2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1"/>
              <w:spacing w:before="103" w:line="185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7.5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1.21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0.93</w:t>
            </w:r>
          </w:p>
        </w:tc>
        <w:tc>
          <w:tcPr>
            <w:tcW w:w="1181" w:type="dxa"/>
            <w:vAlign w:val="top"/>
          </w:tcPr>
          <w:p>
            <w:pPr>
              <w:ind w:left="106"/>
              <w:spacing w:before="103" w:line="185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1"/>
              </w:rPr>
              <w:t>ND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0.028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0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42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6.9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1.2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0.97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0.87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0.039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0.029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0.081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0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43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6.5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1.2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0.96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0.56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0.039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0.499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0.11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0.021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0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44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1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7.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1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0.98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0.75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0.046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0.028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0.159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0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45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0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0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6.9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1.07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0.086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0.122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0.071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0.15</w:t>
            </w:r>
          </w:p>
        </w:tc>
      </w:tr>
      <w:tr>
        <w:trPr>
          <w:trHeight w:val="319" w:hRule="atLeast"/>
        </w:trPr>
        <w:tc>
          <w:tcPr>
            <w:tcW w:w="1186" w:type="dxa"/>
            <w:vAlign w:val="top"/>
          </w:tcPr>
          <w:p>
            <w:pPr>
              <w:ind w:left="110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46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2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2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13.10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1.50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1"/>
              </w:rPr>
              <w:t>1.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1"/>
              </w:rPr>
              <w:t>11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1.17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0.283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0.012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0.06</w:t>
            </w:r>
          </w:p>
        </w:tc>
        <w:tc>
          <w:tcPr>
            <w:tcW w:w="1185" w:type="dxa"/>
            <w:vAlign w:val="top"/>
          </w:tcPr>
          <w:p>
            <w:pPr>
              <w:ind w:left="111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&lt;0.000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1"/>
          <w:pgSz w:w="16839" w:h="11906"/>
          <w:pgMar w:top="400" w:right="1214" w:bottom="1362" w:left="1440" w:header="0" w:footer="1200" w:gutter="0"/>
        </w:sectPr>
        <w:rPr/>
      </w:pPr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7"/>
        <w:rPr/>
      </w:pPr>
      <w:r/>
    </w:p>
    <w:tbl>
      <w:tblPr>
        <w:tblStyle w:val="TableNormal"/>
        <w:tblW w:w="1417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86"/>
        <w:gridCol w:w="1181"/>
        <w:gridCol w:w="1181"/>
        <w:gridCol w:w="1180"/>
        <w:gridCol w:w="1181"/>
        <w:gridCol w:w="1180"/>
        <w:gridCol w:w="1181"/>
        <w:gridCol w:w="1180"/>
        <w:gridCol w:w="1181"/>
        <w:gridCol w:w="1181"/>
        <w:gridCol w:w="1181"/>
        <w:gridCol w:w="1185"/>
      </w:tblGrid>
      <w:tr>
        <w:trPr>
          <w:trHeight w:val="321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13"/>
              <w:spacing w:before="72" w:line="221" w:lineRule="auto"/>
              <w:rPr/>
            </w:pPr>
            <w:r>
              <w:rPr>
                <w:spacing w:val="-4"/>
              </w:rPr>
              <w:t>序号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1"/>
              <w:spacing w:before="72" w:line="219" w:lineRule="auto"/>
              <w:rPr/>
            </w:pPr>
            <w:r>
              <w:rPr>
                <w:spacing w:val="-2"/>
              </w:rPr>
              <w:t>样品名称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2" w:line="221" w:lineRule="auto"/>
              <w:rPr/>
            </w:pPr>
            <w:r>
              <w:rPr>
                <w:spacing w:val="-2"/>
              </w:rPr>
              <w:t>栽培方式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0"/>
              <w:spacing w:before="72" w:line="219" w:lineRule="auto"/>
              <w:rPr/>
            </w:pPr>
            <w:r>
              <w:rPr>
                <w:spacing w:val="-2"/>
              </w:rPr>
              <w:t>样品来源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4"/>
              <w:spacing w:before="72" w:line="219" w:lineRule="auto"/>
              <w:rPr/>
            </w:pPr>
            <w:r>
              <w:rPr>
                <w:spacing w:val="-2"/>
              </w:rPr>
              <w:t>水分（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%</w:t>
            </w:r>
            <w:r>
              <w:rPr>
                <w:spacing w:val="-2"/>
              </w:rPr>
              <w:t>）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2" w:line="219" w:lineRule="auto"/>
              <w:rPr/>
            </w:pPr>
            <w:r>
              <w:rPr>
                <w:spacing w:val="-2"/>
              </w:rPr>
              <w:t>灰分（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%</w:t>
            </w:r>
            <w:r>
              <w:rPr>
                <w:spacing w:val="-2"/>
              </w:rPr>
              <w:t>）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21"/>
              <w:spacing w:before="72" w:line="220" w:lineRule="auto"/>
              <w:rPr/>
            </w:pPr>
            <w:r>
              <w:rPr>
                <w:spacing w:val="-4"/>
              </w:rPr>
              <w:t>多糖（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%</w:t>
            </w:r>
            <w:r>
              <w:rPr>
                <w:spacing w:val="-4"/>
              </w:rPr>
              <w:t>）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2"/>
              <w:spacing w:before="72" w:line="219" w:lineRule="auto"/>
              <w:rPr/>
            </w:pPr>
            <w:r>
              <w:rPr>
                <w:spacing w:val="-2"/>
              </w:rPr>
              <w:t>三萜及甾醇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72" w:line="210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As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  <w:r>
              <w:rPr>
                <w:spacing w:val="-1"/>
              </w:rPr>
              <w:t>）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5"/>
              <w:spacing w:before="72" w:line="210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Cd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  <w:r>
              <w:rPr>
                <w:spacing w:val="-1"/>
              </w:rPr>
              <w:t>）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1"/>
              <w:spacing w:before="72" w:line="210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Hg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  <w:r>
              <w:rPr>
                <w:spacing w:val="-1"/>
              </w:rPr>
              <w:t>）</w:t>
            </w:r>
          </w:p>
        </w:tc>
        <w:tc>
          <w:tcPr>
            <w:tcW w:w="1185" w:type="dxa"/>
            <w:vAlign w:val="top"/>
          </w:tcPr>
          <w:p>
            <w:pPr>
              <w:pStyle w:val="TableText"/>
              <w:ind w:left="111"/>
              <w:spacing w:before="72" w:line="210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Pb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  <w:r>
              <w:rPr>
                <w:spacing w:val="-1"/>
              </w:rPr>
              <w:t>）</w:t>
            </w:r>
          </w:p>
        </w:tc>
      </w:tr>
      <w:tr>
        <w:trPr>
          <w:trHeight w:val="316" w:hRule="atLeast"/>
        </w:trPr>
        <w:tc>
          <w:tcPr>
            <w:tcW w:w="1186" w:type="dxa"/>
            <w:vAlign w:val="top"/>
          </w:tcPr>
          <w:p>
            <w:pPr>
              <w:ind w:left="110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47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68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5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68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15.50</w:t>
            </w:r>
          </w:p>
        </w:tc>
        <w:tc>
          <w:tcPr>
            <w:tcW w:w="1180" w:type="dxa"/>
            <w:vAlign w:val="top"/>
          </w:tcPr>
          <w:p>
            <w:pPr>
              <w:ind w:left="111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1.65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0.74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0.197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0.014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0.606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0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48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68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59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68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12.60</w:t>
            </w:r>
          </w:p>
        </w:tc>
        <w:tc>
          <w:tcPr>
            <w:tcW w:w="1180" w:type="dxa"/>
            <w:vAlign w:val="top"/>
          </w:tcPr>
          <w:p>
            <w:pPr>
              <w:ind w:left="111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0.80</w:t>
            </w:r>
          </w:p>
        </w:tc>
        <w:tc>
          <w:tcPr>
            <w:tcW w:w="1181" w:type="dxa"/>
            <w:vAlign w:val="top"/>
          </w:tcPr>
          <w:p>
            <w:pPr>
              <w:ind w:left="109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2.01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0.90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0.042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0.192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0.195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0.063</w:t>
            </w:r>
          </w:p>
        </w:tc>
      </w:tr>
      <w:tr>
        <w:trPr>
          <w:trHeight w:val="316" w:hRule="atLeast"/>
        </w:trPr>
        <w:tc>
          <w:tcPr>
            <w:tcW w:w="1186" w:type="dxa"/>
            <w:vAlign w:val="top"/>
          </w:tcPr>
          <w:p>
            <w:pPr>
              <w:ind w:left="110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49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68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5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68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13.00</w:t>
            </w:r>
          </w:p>
        </w:tc>
        <w:tc>
          <w:tcPr>
            <w:tcW w:w="1180" w:type="dxa"/>
            <w:vAlign w:val="top"/>
          </w:tcPr>
          <w:p>
            <w:pPr>
              <w:ind w:left="111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1.24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0.73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0.033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0.099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0.025</w:t>
            </w:r>
          </w:p>
        </w:tc>
        <w:tc>
          <w:tcPr>
            <w:tcW w:w="1185" w:type="dxa"/>
            <w:vAlign w:val="top"/>
          </w:tcPr>
          <w:p>
            <w:pPr>
              <w:ind w:left="111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&lt;0.000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50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69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59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69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12.50</w:t>
            </w:r>
          </w:p>
        </w:tc>
        <w:tc>
          <w:tcPr>
            <w:tcW w:w="1180" w:type="dxa"/>
            <w:vAlign w:val="top"/>
          </w:tcPr>
          <w:p>
            <w:pPr>
              <w:ind w:left="111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1.06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0.114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0.044</w:t>
            </w:r>
          </w:p>
        </w:tc>
        <w:tc>
          <w:tcPr>
            <w:tcW w:w="1185" w:type="dxa"/>
            <w:vAlign w:val="top"/>
          </w:tcPr>
          <w:p>
            <w:pPr>
              <w:ind w:left="111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&lt;0.000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51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68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59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68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13.70</w:t>
            </w:r>
          </w:p>
        </w:tc>
        <w:tc>
          <w:tcPr>
            <w:tcW w:w="1180" w:type="dxa"/>
            <w:vAlign w:val="top"/>
          </w:tcPr>
          <w:p>
            <w:pPr>
              <w:ind w:left="111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1.38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0.73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0.021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0.058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0.025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0.042</w:t>
            </w:r>
          </w:p>
        </w:tc>
      </w:tr>
      <w:tr>
        <w:trPr>
          <w:trHeight w:val="316" w:hRule="atLeast"/>
        </w:trPr>
        <w:tc>
          <w:tcPr>
            <w:tcW w:w="1186" w:type="dxa"/>
            <w:vAlign w:val="top"/>
          </w:tcPr>
          <w:p>
            <w:pPr>
              <w:ind w:left="11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52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0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5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0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13.30</w:t>
            </w:r>
          </w:p>
        </w:tc>
        <w:tc>
          <w:tcPr>
            <w:tcW w:w="1180" w:type="dxa"/>
            <w:vAlign w:val="top"/>
          </w:tcPr>
          <w:p>
            <w:pPr>
              <w:ind w:left="111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0.80</w:t>
            </w:r>
          </w:p>
        </w:tc>
        <w:tc>
          <w:tcPr>
            <w:tcW w:w="1181" w:type="dxa"/>
            <w:vAlign w:val="top"/>
          </w:tcPr>
          <w:p>
            <w:pPr>
              <w:ind w:left="109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2.29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0.67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0.033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0.062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0.059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53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1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12.80</w:t>
            </w:r>
          </w:p>
        </w:tc>
        <w:tc>
          <w:tcPr>
            <w:tcW w:w="1180" w:type="dxa"/>
            <w:vAlign w:val="top"/>
          </w:tcPr>
          <w:p>
            <w:pPr>
              <w:ind w:left="111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1.06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0.78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0.026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0.029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0.029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0.017</w:t>
            </w:r>
          </w:p>
        </w:tc>
      </w:tr>
      <w:tr>
        <w:trPr>
          <w:trHeight w:val="316" w:hRule="atLeast"/>
        </w:trPr>
        <w:tc>
          <w:tcPr>
            <w:tcW w:w="1186" w:type="dxa"/>
            <w:vAlign w:val="top"/>
          </w:tcPr>
          <w:p>
            <w:pPr>
              <w:ind w:left="11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54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0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1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0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12.80</w:t>
            </w:r>
          </w:p>
        </w:tc>
        <w:tc>
          <w:tcPr>
            <w:tcW w:w="1180" w:type="dxa"/>
            <w:vAlign w:val="top"/>
          </w:tcPr>
          <w:p>
            <w:pPr>
              <w:ind w:left="111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0.70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1.40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0.82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0.031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0.028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0.037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6"/>
              <w:spacing w:before="105" w:line="185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55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1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14.20</w:t>
            </w:r>
          </w:p>
        </w:tc>
        <w:tc>
          <w:tcPr>
            <w:tcW w:w="1180" w:type="dxa"/>
            <w:vAlign w:val="top"/>
          </w:tcPr>
          <w:p>
            <w:pPr>
              <w:ind w:left="111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1"/>
              </w:rPr>
              <w:t>1.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1"/>
              </w:rPr>
              <w:t>14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0.065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0.032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0.026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0.016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56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1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13.40</w:t>
            </w:r>
          </w:p>
        </w:tc>
        <w:tc>
          <w:tcPr>
            <w:tcW w:w="1180" w:type="dxa"/>
            <w:vAlign w:val="top"/>
          </w:tcPr>
          <w:p>
            <w:pPr>
              <w:ind w:left="111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0.70</w:t>
            </w:r>
          </w:p>
        </w:tc>
        <w:tc>
          <w:tcPr>
            <w:tcW w:w="1181" w:type="dxa"/>
            <w:vAlign w:val="top"/>
          </w:tcPr>
          <w:p>
            <w:pPr>
              <w:ind w:left="109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2.08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0.59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0.028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0.028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0.035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6"/>
              <w:spacing w:before="104" w:line="185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57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0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1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0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12.70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1.71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0.54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0.139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0.036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0.061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58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2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2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17.90</w:t>
            </w:r>
          </w:p>
        </w:tc>
        <w:tc>
          <w:tcPr>
            <w:tcW w:w="1180" w:type="dxa"/>
            <w:vAlign w:val="top"/>
          </w:tcPr>
          <w:p>
            <w:pPr>
              <w:ind w:left="111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0.70</w:t>
            </w:r>
          </w:p>
        </w:tc>
        <w:tc>
          <w:tcPr>
            <w:tcW w:w="1181" w:type="dxa"/>
            <w:vAlign w:val="top"/>
          </w:tcPr>
          <w:p>
            <w:pPr>
              <w:ind w:left="109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2.95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1.24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0.046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0.077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0.042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0.033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59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2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2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13.80</w:t>
            </w:r>
          </w:p>
        </w:tc>
        <w:tc>
          <w:tcPr>
            <w:tcW w:w="1180" w:type="dxa"/>
            <w:vAlign w:val="top"/>
          </w:tcPr>
          <w:p>
            <w:pPr>
              <w:ind w:left="111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0.60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1.61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0.023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0.011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60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13.60</w:t>
            </w:r>
          </w:p>
        </w:tc>
        <w:tc>
          <w:tcPr>
            <w:tcW w:w="1180" w:type="dxa"/>
            <w:vAlign w:val="top"/>
          </w:tcPr>
          <w:p>
            <w:pPr>
              <w:ind w:left="111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1.58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0.052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0.092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0.095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0.066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61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1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12.20</w:t>
            </w:r>
          </w:p>
        </w:tc>
        <w:tc>
          <w:tcPr>
            <w:tcW w:w="1180" w:type="dxa"/>
            <w:vAlign w:val="top"/>
          </w:tcPr>
          <w:p>
            <w:pPr>
              <w:ind w:left="111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0.90</w:t>
            </w:r>
          </w:p>
        </w:tc>
        <w:tc>
          <w:tcPr>
            <w:tcW w:w="1181" w:type="dxa"/>
            <w:vAlign w:val="top"/>
          </w:tcPr>
          <w:p>
            <w:pPr>
              <w:ind w:left="109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2.31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1.10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0.17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0.024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0.115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62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1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13.10</w:t>
            </w:r>
          </w:p>
        </w:tc>
        <w:tc>
          <w:tcPr>
            <w:tcW w:w="1180" w:type="dxa"/>
            <w:vAlign w:val="top"/>
          </w:tcPr>
          <w:p>
            <w:pPr>
              <w:ind w:left="111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1.59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0.042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0.071</w:t>
            </w:r>
          </w:p>
        </w:tc>
        <w:tc>
          <w:tcPr>
            <w:tcW w:w="1185" w:type="dxa"/>
            <w:vAlign w:val="top"/>
          </w:tcPr>
          <w:p>
            <w:pPr>
              <w:ind w:left="111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&lt;0.000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63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0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1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0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12.70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1.20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1.27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0.334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0.054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0.026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64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2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2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12.40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1.02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1.27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0.033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0.693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0.074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0.077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65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2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2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12.50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1.80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0.72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1.01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0.095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0.211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0.227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0.181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66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10.50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1.67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0.064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0.063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0.018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0.146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67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1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9.60</w:t>
            </w:r>
          </w:p>
        </w:tc>
        <w:tc>
          <w:tcPr>
            <w:tcW w:w="1180" w:type="dxa"/>
            <w:vAlign w:val="top"/>
          </w:tcPr>
          <w:p>
            <w:pPr>
              <w:ind w:left="111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0.30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1.61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0.87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0.031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0.022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0.016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0.061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68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1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9.50</w:t>
            </w:r>
          </w:p>
        </w:tc>
        <w:tc>
          <w:tcPr>
            <w:tcW w:w="1180" w:type="dxa"/>
            <w:vAlign w:val="top"/>
          </w:tcPr>
          <w:p>
            <w:pPr>
              <w:ind w:left="111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0.40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1.70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1.00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0.014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0.015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0.163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69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0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1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0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8.40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1.10</w:t>
            </w:r>
          </w:p>
        </w:tc>
        <w:tc>
          <w:tcPr>
            <w:tcW w:w="1181" w:type="dxa"/>
            <w:vAlign w:val="top"/>
          </w:tcPr>
          <w:p>
            <w:pPr>
              <w:ind w:left="109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2.23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0.97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0.037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0.016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0.039</w:t>
            </w:r>
          </w:p>
        </w:tc>
      </w:tr>
      <w:tr>
        <w:trPr>
          <w:trHeight w:val="319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70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2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2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14.40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1.38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0.62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0.078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</w:t>
            </w:r>
          </w:p>
        </w:tc>
        <w:tc>
          <w:tcPr>
            <w:tcW w:w="1181" w:type="dxa"/>
            <w:vAlign w:val="top"/>
          </w:tcPr>
          <w:p>
            <w:pPr>
              <w:ind w:left="111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&lt;0.000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2"/>
          <w:pgSz w:w="16839" w:h="11906"/>
          <w:pgMar w:top="400" w:right="1214" w:bottom="1362" w:left="1440" w:header="0" w:footer="1200" w:gutter="0"/>
        </w:sectPr>
        <w:rPr/>
      </w:pPr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7"/>
        <w:rPr/>
      </w:pPr>
      <w:r/>
    </w:p>
    <w:tbl>
      <w:tblPr>
        <w:tblStyle w:val="TableNormal"/>
        <w:tblW w:w="1417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86"/>
        <w:gridCol w:w="1181"/>
        <w:gridCol w:w="1181"/>
        <w:gridCol w:w="1180"/>
        <w:gridCol w:w="1181"/>
        <w:gridCol w:w="1180"/>
        <w:gridCol w:w="1181"/>
        <w:gridCol w:w="1180"/>
        <w:gridCol w:w="1181"/>
        <w:gridCol w:w="1181"/>
        <w:gridCol w:w="1181"/>
        <w:gridCol w:w="1185"/>
      </w:tblGrid>
      <w:tr>
        <w:trPr>
          <w:trHeight w:val="321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13"/>
              <w:spacing w:before="72" w:line="221" w:lineRule="auto"/>
              <w:rPr/>
            </w:pPr>
            <w:r>
              <w:rPr>
                <w:spacing w:val="-4"/>
              </w:rPr>
              <w:t>序号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1"/>
              <w:spacing w:before="72" w:line="219" w:lineRule="auto"/>
              <w:rPr/>
            </w:pPr>
            <w:r>
              <w:rPr>
                <w:spacing w:val="-2"/>
              </w:rPr>
              <w:t>样品名称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2" w:line="221" w:lineRule="auto"/>
              <w:rPr/>
            </w:pPr>
            <w:r>
              <w:rPr>
                <w:spacing w:val="-2"/>
              </w:rPr>
              <w:t>栽培方式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0"/>
              <w:spacing w:before="72" w:line="219" w:lineRule="auto"/>
              <w:rPr/>
            </w:pPr>
            <w:r>
              <w:rPr>
                <w:spacing w:val="-2"/>
              </w:rPr>
              <w:t>样品来源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4"/>
              <w:spacing w:before="72" w:line="219" w:lineRule="auto"/>
              <w:rPr/>
            </w:pPr>
            <w:r>
              <w:rPr>
                <w:spacing w:val="-2"/>
              </w:rPr>
              <w:t>水分（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%</w:t>
            </w:r>
            <w:r>
              <w:rPr>
                <w:spacing w:val="-2"/>
              </w:rPr>
              <w:t>）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2" w:line="219" w:lineRule="auto"/>
              <w:rPr/>
            </w:pPr>
            <w:r>
              <w:rPr>
                <w:spacing w:val="-2"/>
              </w:rPr>
              <w:t>灰分（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%</w:t>
            </w:r>
            <w:r>
              <w:rPr>
                <w:spacing w:val="-2"/>
              </w:rPr>
              <w:t>）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21"/>
              <w:spacing w:before="72" w:line="220" w:lineRule="auto"/>
              <w:rPr/>
            </w:pPr>
            <w:r>
              <w:rPr>
                <w:spacing w:val="-4"/>
              </w:rPr>
              <w:t>多糖（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%</w:t>
            </w:r>
            <w:r>
              <w:rPr>
                <w:spacing w:val="-4"/>
              </w:rPr>
              <w:t>）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2"/>
              <w:spacing w:before="72" w:line="219" w:lineRule="auto"/>
              <w:rPr/>
            </w:pPr>
            <w:r>
              <w:rPr>
                <w:spacing w:val="-2"/>
              </w:rPr>
              <w:t>三萜及甾醇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72" w:line="210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As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  <w:r>
              <w:rPr>
                <w:spacing w:val="-1"/>
              </w:rPr>
              <w:t>）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5"/>
              <w:spacing w:before="72" w:line="210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Cd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  <w:r>
              <w:rPr>
                <w:spacing w:val="-1"/>
              </w:rPr>
              <w:t>）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1"/>
              <w:spacing w:before="72" w:line="210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Hg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  <w:r>
              <w:rPr>
                <w:spacing w:val="-1"/>
              </w:rPr>
              <w:t>）</w:t>
            </w:r>
          </w:p>
        </w:tc>
        <w:tc>
          <w:tcPr>
            <w:tcW w:w="1185" w:type="dxa"/>
            <w:vAlign w:val="top"/>
          </w:tcPr>
          <w:p>
            <w:pPr>
              <w:pStyle w:val="TableText"/>
              <w:ind w:left="111"/>
              <w:spacing w:before="72" w:line="210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Pb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  <w:r>
              <w:rPr>
                <w:spacing w:val="-1"/>
              </w:rPr>
              <w:t>）</w:t>
            </w:r>
          </w:p>
        </w:tc>
      </w:tr>
      <w:tr>
        <w:trPr>
          <w:trHeight w:val="316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71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68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5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68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6.40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1.40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1.37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1"/>
              </w:rPr>
              <w:t>1.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1"/>
              </w:rPr>
              <w:t>14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0.255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0.346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0.007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0.028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72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68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59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68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1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7.10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1.20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1.00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0.091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0.012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0.001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0.126</w:t>
            </w:r>
          </w:p>
        </w:tc>
      </w:tr>
      <w:tr>
        <w:trPr>
          <w:trHeight w:val="316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73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68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5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68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9.00</w:t>
            </w:r>
          </w:p>
        </w:tc>
        <w:tc>
          <w:tcPr>
            <w:tcW w:w="1180" w:type="dxa"/>
            <w:vAlign w:val="top"/>
          </w:tcPr>
          <w:p>
            <w:pPr>
              <w:ind w:left="111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1.20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0.022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0.105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74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69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59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69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6"/>
              </w:rPr>
              <w:t>11.40</w:t>
            </w:r>
          </w:p>
        </w:tc>
        <w:tc>
          <w:tcPr>
            <w:tcW w:w="1180" w:type="dxa"/>
            <w:vAlign w:val="top"/>
          </w:tcPr>
          <w:p>
            <w:pPr>
              <w:ind w:left="111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1.45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1.38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0.052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0.226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0.012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0.159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102" w:line="185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75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68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59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68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18.80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1.00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0.98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0.85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0.273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0.044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0.105</w:t>
            </w:r>
          </w:p>
        </w:tc>
      </w:tr>
      <w:tr>
        <w:trPr>
          <w:trHeight w:val="316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76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0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5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0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10.50</w:t>
            </w:r>
          </w:p>
        </w:tc>
        <w:tc>
          <w:tcPr>
            <w:tcW w:w="1180" w:type="dxa"/>
            <w:vAlign w:val="top"/>
          </w:tcPr>
          <w:p>
            <w:pPr>
              <w:ind w:left="111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1.48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0.035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0.012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0.023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0.047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102" w:line="185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77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1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9.00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1.49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0.011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0.106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0.156</w:t>
            </w:r>
          </w:p>
        </w:tc>
      </w:tr>
      <w:tr>
        <w:trPr>
          <w:trHeight w:val="316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78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0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1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0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10.40</w:t>
            </w:r>
          </w:p>
        </w:tc>
        <w:tc>
          <w:tcPr>
            <w:tcW w:w="1180" w:type="dxa"/>
            <w:vAlign w:val="top"/>
          </w:tcPr>
          <w:p>
            <w:pPr>
              <w:ind w:left="111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0.70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1.18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1.01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0.037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0.032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0.017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0.066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79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1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9.80</w:t>
            </w:r>
          </w:p>
        </w:tc>
        <w:tc>
          <w:tcPr>
            <w:tcW w:w="1180" w:type="dxa"/>
            <w:vAlign w:val="top"/>
          </w:tcPr>
          <w:p>
            <w:pPr>
              <w:ind w:left="111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1.10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0.026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0.052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0.085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8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80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1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9.80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1.70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1.91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0.049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0.179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0.078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8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81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0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1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0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9.30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1.50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0.92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0.052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0.027</w:t>
            </w:r>
          </w:p>
        </w:tc>
        <w:tc>
          <w:tcPr>
            <w:tcW w:w="1185" w:type="dxa"/>
            <w:vAlign w:val="top"/>
          </w:tcPr>
          <w:p>
            <w:pPr>
              <w:ind w:left="129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1.238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8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82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2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2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15.30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1.15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0.093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0.019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0.204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8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83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2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2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6"/>
              </w:rPr>
              <w:t>11.20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1.70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1.54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1.00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0.052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0.325</w:t>
            </w:r>
          </w:p>
        </w:tc>
        <w:tc>
          <w:tcPr>
            <w:tcW w:w="1181" w:type="dxa"/>
            <w:vAlign w:val="top"/>
          </w:tcPr>
          <w:p>
            <w:pPr>
              <w:ind w:left="111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&lt;0.000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0.558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8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84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9.20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1.10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1.19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1.16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0.097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0.005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0.028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0.088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8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85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1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6"/>
              </w:rPr>
              <w:t>13.4</w:t>
            </w:r>
          </w:p>
        </w:tc>
        <w:tc>
          <w:tcPr>
            <w:tcW w:w="1180" w:type="dxa"/>
            <w:vAlign w:val="top"/>
          </w:tcPr>
          <w:p>
            <w:pPr>
              <w:ind w:left="111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0.83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1"/>
              </w:rPr>
              <w:t>1.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1"/>
              </w:rPr>
              <w:t>14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0.015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0.005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0.107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8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86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1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08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4.8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1.38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0.97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1.22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0.089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0.102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0.103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8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87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0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1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0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6.2</w:t>
            </w:r>
          </w:p>
        </w:tc>
        <w:tc>
          <w:tcPr>
            <w:tcW w:w="1180" w:type="dxa"/>
            <w:vAlign w:val="top"/>
          </w:tcPr>
          <w:p>
            <w:pPr>
              <w:ind w:left="113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5.2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1.92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0.087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0.063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0.104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0.042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8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88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2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2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3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5.4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1.8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1.07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0.062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0.043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0.087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0.099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8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89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2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3"/>
              <w:spacing w:before="6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2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3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5.8</w:t>
            </w:r>
          </w:p>
        </w:tc>
        <w:tc>
          <w:tcPr>
            <w:tcW w:w="1180" w:type="dxa"/>
            <w:vAlign w:val="top"/>
          </w:tcPr>
          <w:p>
            <w:pPr>
              <w:ind w:left="108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2.5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1.16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0.014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0.226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90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/>
            </w:pPr>
            <w:r>
              <w:rPr>
                <w:spacing w:val="-4"/>
              </w:rPr>
              <w:t>小段木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1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6.3</w:t>
            </w:r>
          </w:p>
        </w:tc>
        <w:tc>
          <w:tcPr>
            <w:tcW w:w="1180" w:type="dxa"/>
            <w:vAlign w:val="top"/>
          </w:tcPr>
          <w:p>
            <w:pPr>
              <w:ind w:left="107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4.9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1.71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0.206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0.516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0.018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0.758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91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/>
            </w:pPr>
            <w:r>
              <w:rPr>
                <w:spacing w:val="-4"/>
              </w:rPr>
              <w:t>小段木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0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1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7.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1</w:t>
            </w:r>
          </w:p>
        </w:tc>
        <w:tc>
          <w:tcPr>
            <w:tcW w:w="1180" w:type="dxa"/>
            <w:vAlign w:val="top"/>
          </w:tcPr>
          <w:p>
            <w:pPr>
              <w:ind w:left="111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1.62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0.6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0.992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0.587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0.015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0.507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92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7"/>
              <w:spacing w:before="71" w:line="219" w:lineRule="auto"/>
              <w:rPr/>
            </w:pPr>
            <w:r>
              <w:rPr>
                <w:spacing w:val="-7"/>
              </w:rPr>
              <w:t>赤芝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0" w:line="220" w:lineRule="auto"/>
              <w:rPr/>
            </w:pPr>
            <w:r>
              <w:rPr>
                <w:spacing w:val="-4"/>
              </w:rPr>
              <w:t>小段木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1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6"/>
              </w:rPr>
              <w:t>10.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6"/>
              </w:rPr>
              <w:t>1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1.2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1.91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1.38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0.004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0.005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0.001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0.043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93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0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70" w:line="219" w:lineRule="auto"/>
              <w:rPr/>
            </w:pPr>
            <w:r>
              <w:rPr>
                <w:spacing w:val="-4"/>
              </w:rPr>
              <w:t>代料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0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1180" w:type="dxa"/>
            <w:vAlign w:val="top"/>
          </w:tcPr>
          <w:p>
            <w:pPr>
              <w:ind w:left="108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2.8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1.31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0.95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0.026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0.102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0.001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0.263</w:t>
            </w:r>
          </w:p>
        </w:tc>
      </w:tr>
      <w:tr>
        <w:trPr>
          <w:trHeight w:val="319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94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2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72" w:line="219" w:lineRule="auto"/>
              <w:rPr/>
            </w:pPr>
            <w:r>
              <w:rPr>
                <w:spacing w:val="-4"/>
              </w:rPr>
              <w:t>代料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2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6.5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1.2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0.87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0.024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0.005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0.161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3"/>
          <w:pgSz w:w="16839" w:h="11906"/>
          <w:pgMar w:top="400" w:right="1214" w:bottom="1362" w:left="1440" w:header="0" w:footer="1200" w:gutter="0"/>
        </w:sectPr>
        <w:rPr/>
      </w:pPr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7"/>
        <w:rPr/>
      </w:pPr>
      <w:r/>
    </w:p>
    <w:tbl>
      <w:tblPr>
        <w:tblStyle w:val="TableNormal"/>
        <w:tblW w:w="1417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86"/>
        <w:gridCol w:w="1181"/>
        <w:gridCol w:w="1181"/>
        <w:gridCol w:w="1180"/>
        <w:gridCol w:w="1181"/>
        <w:gridCol w:w="1180"/>
        <w:gridCol w:w="1181"/>
        <w:gridCol w:w="1180"/>
        <w:gridCol w:w="1181"/>
        <w:gridCol w:w="1181"/>
        <w:gridCol w:w="1181"/>
        <w:gridCol w:w="1185"/>
      </w:tblGrid>
      <w:tr>
        <w:trPr>
          <w:trHeight w:val="321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13"/>
              <w:spacing w:before="72" w:line="221" w:lineRule="auto"/>
              <w:rPr/>
            </w:pPr>
            <w:r>
              <w:rPr>
                <w:spacing w:val="-4"/>
              </w:rPr>
              <w:t>序号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1"/>
              <w:spacing w:before="72" w:line="219" w:lineRule="auto"/>
              <w:rPr/>
            </w:pPr>
            <w:r>
              <w:rPr>
                <w:spacing w:val="-2"/>
              </w:rPr>
              <w:t>样品名称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2" w:line="221" w:lineRule="auto"/>
              <w:rPr/>
            </w:pPr>
            <w:r>
              <w:rPr>
                <w:spacing w:val="-2"/>
              </w:rPr>
              <w:t>栽培方式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0"/>
              <w:spacing w:before="72" w:line="219" w:lineRule="auto"/>
              <w:rPr/>
            </w:pPr>
            <w:r>
              <w:rPr>
                <w:spacing w:val="-2"/>
              </w:rPr>
              <w:t>样品来源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4"/>
              <w:spacing w:before="72" w:line="219" w:lineRule="auto"/>
              <w:rPr/>
            </w:pPr>
            <w:r>
              <w:rPr>
                <w:spacing w:val="-2"/>
              </w:rPr>
              <w:t>水分（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%</w:t>
            </w:r>
            <w:r>
              <w:rPr>
                <w:spacing w:val="-2"/>
              </w:rPr>
              <w:t>）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2" w:line="219" w:lineRule="auto"/>
              <w:rPr/>
            </w:pPr>
            <w:r>
              <w:rPr>
                <w:spacing w:val="-2"/>
              </w:rPr>
              <w:t>灰分（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%</w:t>
            </w:r>
            <w:r>
              <w:rPr>
                <w:spacing w:val="-2"/>
              </w:rPr>
              <w:t>）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21"/>
              <w:spacing w:before="72" w:line="220" w:lineRule="auto"/>
              <w:rPr/>
            </w:pPr>
            <w:r>
              <w:rPr>
                <w:spacing w:val="-4"/>
              </w:rPr>
              <w:t>多糖（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%</w:t>
            </w:r>
            <w:r>
              <w:rPr>
                <w:spacing w:val="-4"/>
              </w:rPr>
              <w:t>）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2"/>
              <w:spacing w:before="72" w:line="219" w:lineRule="auto"/>
              <w:rPr/>
            </w:pPr>
            <w:r>
              <w:rPr>
                <w:spacing w:val="-2"/>
              </w:rPr>
              <w:t>三萜及甾醇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72" w:line="210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As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  <w:r>
              <w:rPr>
                <w:spacing w:val="-1"/>
              </w:rPr>
              <w:t>）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5"/>
              <w:spacing w:before="72" w:line="210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Cd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  <w:r>
              <w:rPr>
                <w:spacing w:val="-1"/>
              </w:rPr>
              <w:t>）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1"/>
              <w:spacing w:before="72" w:line="210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Hg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  <w:r>
              <w:rPr>
                <w:spacing w:val="-1"/>
              </w:rPr>
              <w:t>）</w:t>
            </w:r>
          </w:p>
        </w:tc>
        <w:tc>
          <w:tcPr>
            <w:tcW w:w="1185" w:type="dxa"/>
            <w:vAlign w:val="top"/>
          </w:tcPr>
          <w:p>
            <w:pPr>
              <w:pStyle w:val="TableText"/>
              <w:ind w:left="111"/>
              <w:spacing w:before="72" w:line="210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Pb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  <w:r>
              <w:rPr>
                <w:spacing w:val="-1"/>
              </w:rPr>
              <w:t>）</w:t>
            </w:r>
          </w:p>
        </w:tc>
      </w:tr>
      <w:tr>
        <w:trPr>
          <w:trHeight w:val="316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95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68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68" w:line="219" w:lineRule="auto"/>
              <w:rPr/>
            </w:pPr>
            <w:r>
              <w:rPr>
                <w:spacing w:val="-4"/>
              </w:rPr>
              <w:t>代料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67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6"/>
              </w:rPr>
              <w:t>10.4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1.6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0.78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0.41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0.241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0.101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0.054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6"/>
              </w:rPr>
              <w:t>0.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6"/>
              </w:rPr>
              <w:t>121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96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68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68" w:line="219" w:lineRule="auto"/>
              <w:rPr/>
            </w:pPr>
            <w:r>
              <w:rPr>
                <w:spacing w:val="-4"/>
              </w:rPr>
              <w:t>代料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68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6.4</w:t>
            </w:r>
          </w:p>
        </w:tc>
        <w:tc>
          <w:tcPr>
            <w:tcW w:w="1180" w:type="dxa"/>
            <w:vAlign w:val="top"/>
          </w:tcPr>
          <w:p>
            <w:pPr>
              <w:ind w:left="107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4.7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1.77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0.86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0.071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0.111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0.061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0.211</w:t>
            </w:r>
          </w:p>
        </w:tc>
      </w:tr>
      <w:tr>
        <w:trPr>
          <w:trHeight w:val="316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97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68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68" w:line="219" w:lineRule="auto"/>
              <w:rPr/>
            </w:pPr>
            <w:r>
              <w:rPr>
                <w:spacing w:val="-4"/>
              </w:rPr>
              <w:t>代料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67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6.7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1.2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1.52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0.091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0.261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0.121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0.231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98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69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69" w:line="219" w:lineRule="auto"/>
              <w:rPr/>
            </w:pPr>
            <w:r>
              <w:rPr>
                <w:spacing w:val="-4"/>
              </w:rPr>
              <w:t>代料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68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6.4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1.3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0.82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0.69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0.071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0.071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0.071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0.301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99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68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68" w:line="219" w:lineRule="auto"/>
              <w:rPr/>
            </w:pPr>
            <w:r>
              <w:rPr>
                <w:spacing w:val="-4"/>
              </w:rPr>
              <w:t>代料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68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0"/>
              </w:rPr>
              <w:t>10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3.4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1.34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1.17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0.091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0.151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0.141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0.231</w:t>
            </w:r>
          </w:p>
        </w:tc>
      </w:tr>
      <w:tr>
        <w:trPr>
          <w:trHeight w:val="316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100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0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70" w:line="219" w:lineRule="auto"/>
              <w:rPr/>
            </w:pPr>
            <w:r>
              <w:rPr>
                <w:spacing w:val="-4"/>
              </w:rPr>
              <w:t>代料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0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9.9</w:t>
            </w:r>
          </w:p>
        </w:tc>
        <w:tc>
          <w:tcPr>
            <w:tcW w:w="1180" w:type="dxa"/>
            <w:vAlign w:val="top"/>
          </w:tcPr>
          <w:p>
            <w:pPr>
              <w:ind w:left="107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4.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1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1.18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1"/>
              </w:rPr>
              <w:t>1.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1"/>
              </w:rPr>
              <w:t>12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0.112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0.08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0.071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0.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11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101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1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71" w:line="219" w:lineRule="auto"/>
              <w:rPr/>
            </w:pPr>
            <w:r>
              <w:rPr>
                <w:spacing w:val="-4"/>
              </w:rPr>
              <w:t>代料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0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8.2</w:t>
            </w:r>
          </w:p>
        </w:tc>
        <w:tc>
          <w:tcPr>
            <w:tcW w:w="1180" w:type="dxa"/>
            <w:vAlign w:val="top"/>
          </w:tcPr>
          <w:p>
            <w:pPr>
              <w:ind w:left="108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2.2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0.86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0.091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0.081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0.071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0.191</w:t>
            </w:r>
          </w:p>
        </w:tc>
      </w:tr>
      <w:tr>
        <w:trPr>
          <w:trHeight w:val="316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102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0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0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9.3</w:t>
            </w:r>
          </w:p>
        </w:tc>
        <w:tc>
          <w:tcPr>
            <w:tcW w:w="1180" w:type="dxa"/>
            <w:vAlign w:val="top"/>
          </w:tcPr>
          <w:p>
            <w:pPr>
              <w:ind w:left="108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2.7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1.48</w:t>
            </w:r>
          </w:p>
        </w:tc>
        <w:tc>
          <w:tcPr>
            <w:tcW w:w="1180" w:type="dxa"/>
            <w:vAlign w:val="top"/>
          </w:tcPr>
          <w:p>
            <w:pPr>
              <w:ind w:left="105"/>
              <w:spacing w:before="96" w:line="192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/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0.091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0.551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0.161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9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0.131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103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1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0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6.9</w:t>
            </w:r>
          </w:p>
        </w:tc>
        <w:tc>
          <w:tcPr>
            <w:tcW w:w="1180" w:type="dxa"/>
            <w:vAlign w:val="top"/>
          </w:tcPr>
          <w:p>
            <w:pPr>
              <w:ind w:left="108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2.3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1.58</w:t>
            </w:r>
          </w:p>
        </w:tc>
        <w:tc>
          <w:tcPr>
            <w:tcW w:w="1180" w:type="dxa"/>
            <w:vAlign w:val="top"/>
          </w:tcPr>
          <w:p>
            <w:pPr>
              <w:ind w:left="105"/>
              <w:spacing w:before="99" w:line="192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/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0.098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0.092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0.079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0.269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104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1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0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9.7</w:t>
            </w:r>
          </w:p>
        </w:tc>
        <w:tc>
          <w:tcPr>
            <w:tcW w:w="1180" w:type="dxa"/>
            <w:vAlign w:val="top"/>
          </w:tcPr>
          <w:p>
            <w:pPr>
              <w:ind w:left="108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2.7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1.33</w:t>
            </w:r>
          </w:p>
        </w:tc>
        <w:tc>
          <w:tcPr>
            <w:tcW w:w="1180" w:type="dxa"/>
            <w:vAlign w:val="top"/>
          </w:tcPr>
          <w:p>
            <w:pPr>
              <w:ind w:left="105"/>
              <w:spacing w:before="98" w:line="192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/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0.138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0.174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0.122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0.26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105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0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0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6"/>
              </w:rPr>
              <w:t>10.3</w:t>
            </w:r>
          </w:p>
        </w:tc>
        <w:tc>
          <w:tcPr>
            <w:tcW w:w="1180" w:type="dxa"/>
            <w:vAlign w:val="top"/>
          </w:tcPr>
          <w:p>
            <w:pPr>
              <w:ind w:left="108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2.6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1.55</w:t>
            </w:r>
          </w:p>
        </w:tc>
        <w:tc>
          <w:tcPr>
            <w:tcW w:w="1180" w:type="dxa"/>
            <w:vAlign w:val="top"/>
          </w:tcPr>
          <w:p>
            <w:pPr>
              <w:ind w:left="105"/>
              <w:spacing w:before="98" w:line="192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/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0.258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0.568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0.069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0.868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106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2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2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9.3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1.9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1.36</w:t>
            </w:r>
          </w:p>
        </w:tc>
        <w:tc>
          <w:tcPr>
            <w:tcW w:w="1180" w:type="dxa"/>
            <w:vAlign w:val="top"/>
          </w:tcPr>
          <w:p>
            <w:pPr>
              <w:ind w:left="105"/>
              <w:spacing w:before="97" w:line="192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/</w:t>
            </w:r>
          </w:p>
        </w:tc>
        <w:tc>
          <w:tcPr>
            <w:tcW w:w="1181" w:type="dxa"/>
            <w:vAlign w:val="top"/>
          </w:tcPr>
          <w:p>
            <w:pPr>
              <w:ind w:left="129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1.044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0.639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0.066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0.617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107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2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1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9.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1</w:t>
            </w:r>
          </w:p>
        </w:tc>
        <w:tc>
          <w:tcPr>
            <w:tcW w:w="1180" w:type="dxa"/>
            <w:vAlign w:val="top"/>
          </w:tcPr>
          <w:p>
            <w:pPr>
              <w:ind w:left="108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1.7</w:t>
            </w:r>
          </w:p>
        </w:tc>
        <w:tc>
          <w:tcPr>
            <w:tcW w:w="1180" w:type="dxa"/>
            <w:vAlign w:val="top"/>
          </w:tcPr>
          <w:p>
            <w:pPr>
              <w:ind w:left="105"/>
              <w:spacing w:before="97" w:line="192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/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0.056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0.057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0.052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0.067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108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1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1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6"/>
              </w:rPr>
              <w:t>10.5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3.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1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1.34</w:t>
            </w:r>
          </w:p>
        </w:tc>
        <w:tc>
          <w:tcPr>
            <w:tcW w:w="1180" w:type="dxa"/>
            <w:vAlign w:val="top"/>
          </w:tcPr>
          <w:p>
            <w:pPr>
              <w:ind w:left="105"/>
              <w:spacing w:before="97" w:line="192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/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0.429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0.156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0.053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0.155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109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1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0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1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7.2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1.5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1.23</w:t>
            </w:r>
          </w:p>
        </w:tc>
        <w:tc>
          <w:tcPr>
            <w:tcW w:w="1180" w:type="dxa"/>
            <w:vAlign w:val="top"/>
          </w:tcPr>
          <w:p>
            <w:pPr>
              <w:ind w:left="105"/>
              <w:spacing w:before="99" w:line="192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/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0.068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0.077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0.064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0.212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9"/>
              </w:rPr>
              <w:t>110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1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0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6"/>
              </w:rPr>
              <w:t>12.7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1.9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0.98</w:t>
            </w:r>
          </w:p>
        </w:tc>
        <w:tc>
          <w:tcPr>
            <w:tcW w:w="1180" w:type="dxa"/>
            <w:vAlign w:val="top"/>
          </w:tcPr>
          <w:p>
            <w:pPr>
              <w:ind w:left="105"/>
              <w:spacing w:before="98" w:line="192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/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0.12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0.228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0.052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0.188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9"/>
              </w:rPr>
              <w:t>111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0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0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9.6</w:t>
            </w:r>
          </w:p>
        </w:tc>
        <w:tc>
          <w:tcPr>
            <w:tcW w:w="1180" w:type="dxa"/>
            <w:vAlign w:val="top"/>
          </w:tcPr>
          <w:p>
            <w:pPr>
              <w:ind w:left="108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2.5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1.02</w:t>
            </w:r>
          </w:p>
        </w:tc>
        <w:tc>
          <w:tcPr>
            <w:tcW w:w="1180" w:type="dxa"/>
            <w:vAlign w:val="top"/>
          </w:tcPr>
          <w:p>
            <w:pPr>
              <w:ind w:left="105"/>
              <w:spacing w:before="98" w:line="192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/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0.163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0.185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0.106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0.531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9"/>
              </w:rPr>
              <w:t>112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2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2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8.7</w:t>
            </w:r>
          </w:p>
        </w:tc>
        <w:tc>
          <w:tcPr>
            <w:tcW w:w="1180" w:type="dxa"/>
            <w:vAlign w:val="top"/>
          </w:tcPr>
          <w:p>
            <w:pPr>
              <w:ind w:left="108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2.6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1.3</w:t>
            </w:r>
          </w:p>
        </w:tc>
        <w:tc>
          <w:tcPr>
            <w:tcW w:w="1180" w:type="dxa"/>
            <w:vAlign w:val="top"/>
          </w:tcPr>
          <w:p>
            <w:pPr>
              <w:ind w:left="105"/>
              <w:spacing w:before="97" w:line="192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/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0.094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0.079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0.121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0.099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9"/>
              </w:rPr>
              <w:t>113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2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1"/>
              <w:spacing w:before="72" w:line="219" w:lineRule="auto"/>
              <w:rPr/>
            </w:pPr>
            <w:r>
              <w:rPr>
                <w:spacing w:val="-4"/>
              </w:rPr>
              <w:t>产地</w:t>
            </w:r>
          </w:p>
        </w:tc>
        <w:tc>
          <w:tcPr>
            <w:tcW w:w="1181" w:type="dxa"/>
            <w:vAlign w:val="top"/>
          </w:tcPr>
          <w:p>
            <w:pPr>
              <w:ind w:left="111"/>
              <w:spacing w:before="103" w:line="185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7.7</w:t>
            </w:r>
          </w:p>
        </w:tc>
        <w:tc>
          <w:tcPr>
            <w:tcW w:w="1180" w:type="dxa"/>
            <w:vAlign w:val="top"/>
          </w:tcPr>
          <w:p>
            <w:pPr>
              <w:ind w:left="108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1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1.31</w:t>
            </w:r>
          </w:p>
        </w:tc>
        <w:tc>
          <w:tcPr>
            <w:tcW w:w="1180" w:type="dxa"/>
            <w:vAlign w:val="top"/>
          </w:tcPr>
          <w:p>
            <w:pPr>
              <w:ind w:left="105"/>
              <w:spacing w:before="97" w:line="192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/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0.057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0.094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0.063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0.195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9"/>
              </w:rPr>
              <w:t>114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1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1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1"/>
              <w:spacing w:before="103" w:line="185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7.7</w:t>
            </w:r>
          </w:p>
        </w:tc>
        <w:tc>
          <w:tcPr>
            <w:tcW w:w="1180" w:type="dxa"/>
            <w:vAlign w:val="top"/>
          </w:tcPr>
          <w:p>
            <w:pPr>
              <w:ind w:left="108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2.3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1.2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0.48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0.069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0.08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0.054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0.094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9"/>
              </w:rPr>
              <w:t>115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1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0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1"/>
              <w:spacing w:before="105" w:line="185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7.5</w:t>
            </w:r>
          </w:p>
        </w:tc>
        <w:tc>
          <w:tcPr>
            <w:tcW w:w="1180" w:type="dxa"/>
            <w:vAlign w:val="top"/>
          </w:tcPr>
          <w:p>
            <w:pPr>
              <w:ind w:left="108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2.5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1.01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0.66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0.125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0.576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0.074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0.256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9"/>
              </w:rPr>
              <w:t>116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1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0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8.6</w:t>
            </w:r>
          </w:p>
        </w:tc>
        <w:tc>
          <w:tcPr>
            <w:tcW w:w="1180" w:type="dxa"/>
            <w:vAlign w:val="top"/>
          </w:tcPr>
          <w:p>
            <w:pPr>
              <w:ind w:left="108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2.4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1.08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0.63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0.055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0.069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0.218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0.5</w:t>
            </w:r>
          </w:p>
        </w:tc>
      </w:tr>
      <w:tr>
        <w:trPr>
          <w:trHeight w:val="317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9"/>
              </w:rPr>
              <w:t>117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0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0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8.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1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1.9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1.17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0.73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0.097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0.062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0.064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0.092</w:t>
            </w:r>
          </w:p>
        </w:tc>
      </w:tr>
      <w:tr>
        <w:trPr>
          <w:trHeight w:val="319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9"/>
              </w:rPr>
              <w:t>118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2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2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1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7.9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1.8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0.97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0.12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0.072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0.083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0.025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4"/>
          <w:pgSz w:w="16839" w:h="11906"/>
          <w:pgMar w:top="400" w:right="1214" w:bottom="1362" w:left="1440" w:header="0" w:footer="1200" w:gutter="0"/>
        </w:sectPr>
        <w:rPr/>
      </w:pPr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7"/>
        <w:rPr/>
      </w:pPr>
      <w:r/>
    </w:p>
    <w:tbl>
      <w:tblPr>
        <w:tblStyle w:val="TableNormal"/>
        <w:tblW w:w="1417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86"/>
        <w:gridCol w:w="1181"/>
        <w:gridCol w:w="1181"/>
        <w:gridCol w:w="1180"/>
        <w:gridCol w:w="1181"/>
        <w:gridCol w:w="1180"/>
        <w:gridCol w:w="1181"/>
        <w:gridCol w:w="1180"/>
        <w:gridCol w:w="1181"/>
        <w:gridCol w:w="1181"/>
        <w:gridCol w:w="1181"/>
        <w:gridCol w:w="1185"/>
      </w:tblGrid>
      <w:tr>
        <w:trPr>
          <w:trHeight w:val="320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13"/>
              <w:spacing w:before="72" w:line="221" w:lineRule="auto"/>
              <w:rPr/>
            </w:pPr>
            <w:r>
              <w:rPr>
                <w:spacing w:val="-4"/>
              </w:rPr>
              <w:t>序号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1"/>
              <w:spacing w:before="72" w:line="219" w:lineRule="auto"/>
              <w:rPr/>
            </w:pPr>
            <w:r>
              <w:rPr>
                <w:spacing w:val="-2"/>
              </w:rPr>
              <w:t>样品名称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2" w:line="221" w:lineRule="auto"/>
              <w:rPr/>
            </w:pPr>
            <w:r>
              <w:rPr>
                <w:spacing w:val="-2"/>
              </w:rPr>
              <w:t>栽培方式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0"/>
              <w:spacing w:before="72" w:line="219" w:lineRule="auto"/>
              <w:rPr/>
            </w:pPr>
            <w:r>
              <w:rPr>
                <w:spacing w:val="-2"/>
              </w:rPr>
              <w:t>样品来源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4"/>
              <w:spacing w:before="72" w:line="219" w:lineRule="auto"/>
              <w:rPr/>
            </w:pPr>
            <w:r>
              <w:rPr>
                <w:spacing w:val="-2"/>
              </w:rPr>
              <w:t>水分（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%</w:t>
            </w:r>
            <w:r>
              <w:rPr>
                <w:spacing w:val="-2"/>
              </w:rPr>
              <w:t>）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2" w:line="219" w:lineRule="auto"/>
              <w:rPr/>
            </w:pPr>
            <w:r>
              <w:rPr>
                <w:spacing w:val="-2"/>
              </w:rPr>
              <w:t>灰分（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%</w:t>
            </w:r>
            <w:r>
              <w:rPr>
                <w:spacing w:val="-2"/>
              </w:rPr>
              <w:t>）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21"/>
              <w:spacing w:before="72" w:line="220" w:lineRule="auto"/>
              <w:rPr/>
            </w:pPr>
            <w:r>
              <w:rPr>
                <w:spacing w:val="-4"/>
              </w:rPr>
              <w:t>多糖（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%</w:t>
            </w:r>
            <w:r>
              <w:rPr>
                <w:spacing w:val="-4"/>
              </w:rPr>
              <w:t>）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2"/>
              <w:spacing w:before="72" w:line="219" w:lineRule="auto"/>
              <w:rPr/>
            </w:pPr>
            <w:r>
              <w:rPr>
                <w:spacing w:val="-2"/>
              </w:rPr>
              <w:t>三萜及甾醇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0"/>
              <w:spacing w:before="72" w:line="210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As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  <w:r>
              <w:rPr>
                <w:spacing w:val="-1"/>
              </w:rPr>
              <w:t>）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5"/>
              <w:spacing w:before="72" w:line="210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Cd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  <w:r>
              <w:rPr>
                <w:spacing w:val="-1"/>
              </w:rPr>
              <w:t>）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1"/>
              <w:spacing w:before="72" w:line="210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Hg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  <w:r>
              <w:rPr>
                <w:spacing w:val="-1"/>
              </w:rPr>
              <w:t>）</w:t>
            </w:r>
          </w:p>
        </w:tc>
        <w:tc>
          <w:tcPr>
            <w:tcW w:w="1185" w:type="dxa"/>
            <w:vAlign w:val="top"/>
          </w:tcPr>
          <w:p>
            <w:pPr>
              <w:pStyle w:val="TableText"/>
              <w:ind w:left="111"/>
              <w:spacing w:before="72" w:line="210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Pb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  <w:r>
              <w:rPr>
                <w:spacing w:val="-1"/>
              </w:rPr>
              <w:t>）</w:t>
            </w:r>
          </w:p>
        </w:tc>
      </w:tr>
      <w:tr>
        <w:trPr>
          <w:trHeight w:val="316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9"/>
              </w:rPr>
              <w:t>119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69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68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6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4"/>
              </w:rPr>
              <w:t>8.6</w:t>
            </w:r>
          </w:p>
        </w:tc>
        <w:tc>
          <w:tcPr>
            <w:tcW w:w="1180" w:type="dxa"/>
            <w:vAlign w:val="top"/>
          </w:tcPr>
          <w:p>
            <w:pPr>
              <w:ind w:left="108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2.6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0.92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0.89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0.12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0.473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0.087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7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0.116</w:t>
            </w:r>
          </w:p>
        </w:tc>
      </w:tr>
      <w:tr>
        <w:trPr>
          <w:trHeight w:val="316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98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120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69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69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98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9.4</w:t>
            </w:r>
          </w:p>
        </w:tc>
        <w:tc>
          <w:tcPr>
            <w:tcW w:w="1180" w:type="dxa"/>
            <w:vAlign w:val="top"/>
          </w:tcPr>
          <w:p>
            <w:pPr>
              <w:ind w:left="108"/>
              <w:spacing w:before="98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2.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1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98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1.06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98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0.62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8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0.13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98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0.126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98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0.061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98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0.153</w:t>
            </w:r>
          </w:p>
        </w:tc>
      </w:tr>
      <w:tr>
        <w:trPr>
          <w:trHeight w:val="316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121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0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69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6"/>
              </w:rPr>
              <w:t>10.2</w:t>
            </w:r>
          </w:p>
        </w:tc>
        <w:tc>
          <w:tcPr>
            <w:tcW w:w="1180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1.8</w:t>
            </w:r>
          </w:p>
        </w:tc>
        <w:tc>
          <w:tcPr>
            <w:tcW w:w="1181" w:type="dxa"/>
            <w:vAlign w:val="top"/>
          </w:tcPr>
          <w:p>
            <w:pPr>
              <w:ind w:left="126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5"/>
              </w:rPr>
              <w:t>1.24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0.85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0.134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0.36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0.058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0.172</w:t>
            </w:r>
          </w:p>
        </w:tc>
      </w:tr>
      <w:tr>
        <w:trPr>
          <w:trHeight w:val="321" w:hRule="atLeast"/>
        </w:trPr>
        <w:tc>
          <w:tcPr>
            <w:tcW w:w="1186" w:type="dxa"/>
            <w:vAlign w:val="top"/>
          </w:tcPr>
          <w:p>
            <w:pPr>
              <w:ind w:left="128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122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6"/>
              <w:spacing w:before="71" w:line="219" w:lineRule="auto"/>
              <w:rPr/>
            </w:pPr>
            <w:r>
              <w:rPr>
                <w:spacing w:val="-6"/>
              </w:rPr>
              <w:t>紫芝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/>
            </w:pPr>
            <w:r>
              <w:rPr>
                <w:spacing w:val="-4"/>
              </w:rPr>
              <w:t>段木</w:t>
            </w:r>
          </w:p>
        </w:tc>
        <w:tc>
          <w:tcPr>
            <w:tcW w:w="1180" w:type="dxa"/>
            <w:vAlign w:val="top"/>
          </w:tcPr>
          <w:p>
            <w:pPr>
              <w:pStyle w:val="TableText"/>
              <w:ind w:left="113"/>
              <w:spacing w:before="70" w:line="219" w:lineRule="auto"/>
              <w:rPr/>
            </w:pPr>
            <w:r>
              <w:rPr>
                <w:spacing w:val="-3"/>
              </w:rPr>
              <w:t>药材市场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9.8</w:t>
            </w:r>
          </w:p>
        </w:tc>
        <w:tc>
          <w:tcPr>
            <w:tcW w:w="1180" w:type="dxa"/>
            <w:vAlign w:val="top"/>
          </w:tcPr>
          <w:p>
            <w:pPr>
              <w:ind w:left="108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1181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0.99</w:t>
            </w:r>
          </w:p>
        </w:tc>
        <w:tc>
          <w:tcPr>
            <w:tcW w:w="1180" w:type="dxa"/>
            <w:vAlign w:val="top"/>
          </w:tcPr>
          <w:p>
            <w:pPr>
              <w:ind w:left="112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0.78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0.12</w:t>
            </w:r>
          </w:p>
        </w:tc>
        <w:tc>
          <w:tcPr>
            <w:tcW w:w="1181" w:type="dxa"/>
            <w:vAlign w:val="top"/>
          </w:tcPr>
          <w:p>
            <w:pPr>
              <w:ind w:left="115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0.305</w:t>
            </w:r>
          </w:p>
        </w:tc>
        <w:tc>
          <w:tcPr>
            <w:tcW w:w="1181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0.081</w:t>
            </w:r>
          </w:p>
        </w:tc>
        <w:tc>
          <w:tcPr>
            <w:tcW w:w="1185" w:type="dxa"/>
            <w:vAlign w:val="top"/>
          </w:tcPr>
          <w:p>
            <w:pPr>
              <w:ind w:left="114"/>
              <w:spacing w:before="10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</w:rPr>
              <w:t>0.824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5"/>
          <w:pgSz w:w="16839" w:h="11906"/>
          <w:pgMar w:top="400" w:right="1214" w:bottom="1362" w:left="1440" w:header="0" w:footer="1200" w:gutter="0"/>
        </w:sectPr>
        <w:rPr/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32"/>
        <w:spacing w:before="103" w:line="201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附件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2 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相关标准理化指标对比表</w:t>
      </w:r>
    </w:p>
    <w:p>
      <w:pPr>
        <w:spacing w:line="103" w:lineRule="exact"/>
        <w:rPr/>
      </w:pPr>
      <w:r/>
    </w:p>
    <w:tbl>
      <w:tblPr>
        <w:tblStyle w:val="TableNormal"/>
        <w:tblW w:w="14469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049"/>
        <w:gridCol w:w="916"/>
        <w:gridCol w:w="860"/>
        <w:gridCol w:w="1420"/>
        <w:gridCol w:w="966"/>
        <w:gridCol w:w="1202"/>
        <w:gridCol w:w="1200"/>
        <w:gridCol w:w="1200"/>
        <w:gridCol w:w="1200"/>
        <w:gridCol w:w="850"/>
        <w:gridCol w:w="784"/>
        <w:gridCol w:w="1822"/>
      </w:tblGrid>
      <w:tr>
        <w:trPr>
          <w:trHeight w:val="945" w:hRule="atLeast"/>
        </w:trPr>
        <w:tc>
          <w:tcPr>
            <w:tcW w:w="204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ind w:left="120"/>
              <w:spacing w:before="65" w:line="222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6"/>
              </w:rPr>
              <w:t>参考标准</w:t>
            </w:r>
          </w:p>
        </w:tc>
        <w:tc>
          <w:tcPr>
            <w:tcW w:w="91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26" w:right="103" w:hanging="1"/>
              <w:spacing w:before="212" w:line="311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水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42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分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(%)</w:t>
            </w:r>
          </w:p>
        </w:tc>
        <w:tc>
          <w:tcPr>
            <w:tcW w:w="86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19" w:right="104" w:hanging="6"/>
              <w:spacing w:before="212" w:line="311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3"/>
              </w:rPr>
              <w:t>灰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17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3"/>
              </w:rPr>
              <w:t>分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(%)</w:t>
            </w:r>
          </w:p>
        </w:tc>
        <w:tc>
          <w:tcPr>
            <w:tcW w:w="142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ind w:left="132"/>
              <w:spacing w:before="65" w:line="22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2"/>
              </w:rPr>
              <w:t>多糖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(%)</w:t>
            </w:r>
          </w:p>
        </w:tc>
        <w:tc>
          <w:tcPr>
            <w:tcW w:w="96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49" w:right="100" w:hanging="6"/>
              <w:spacing w:before="214" w:line="2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8"/>
              </w:rPr>
              <w:t>三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19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8"/>
              </w:rPr>
              <w:t>萜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35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8"/>
              </w:rPr>
              <w:t>及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甾醇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(%)</w:t>
            </w:r>
          </w:p>
        </w:tc>
        <w:tc>
          <w:tcPr>
            <w:tcW w:w="120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ind w:left="120"/>
              <w:spacing w:before="65" w:line="22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9"/>
              </w:rPr>
              <w:t>铅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9"/>
              </w:rPr>
              <w:t>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mg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9"/>
              </w:rPr>
              <w:t>/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9"/>
              </w:rPr>
              <w:t>)</w:t>
            </w:r>
          </w:p>
        </w:tc>
        <w:tc>
          <w:tcPr>
            <w:tcW w:w="120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ind w:left="121"/>
              <w:spacing w:before="65" w:line="22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8"/>
              </w:rPr>
              <w:t>镉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8"/>
              </w:rPr>
              <w:t>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mg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8"/>
              </w:rPr>
              <w:t>/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8"/>
              </w:rPr>
              <w:t>)</w:t>
            </w:r>
          </w:p>
        </w:tc>
        <w:tc>
          <w:tcPr>
            <w:tcW w:w="120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ind w:left="127"/>
              <w:spacing w:before="65" w:line="22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6"/>
              </w:rPr>
              <w:t>汞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6"/>
              </w:rPr>
              <w:t>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mg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6"/>
              </w:rPr>
              <w:t>/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6"/>
              </w:rPr>
              <w:t>)</w:t>
            </w:r>
          </w:p>
        </w:tc>
        <w:tc>
          <w:tcPr>
            <w:tcW w:w="120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ind w:left="124"/>
              <w:spacing w:before="65" w:line="22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7"/>
              </w:rPr>
              <w:t>砷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7"/>
              </w:rPr>
              <w:t>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mg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7"/>
              </w:rPr>
              <w:t>/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7"/>
              </w:rPr>
              <w:t>)</w:t>
            </w:r>
          </w:p>
        </w:tc>
        <w:tc>
          <w:tcPr>
            <w:tcW w:w="85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20"/>
              <w:spacing w:before="57" w:line="224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2"/>
              </w:rPr>
              <w:t>铬</w:t>
            </w:r>
          </w:p>
          <w:p>
            <w:pPr>
              <w:ind w:left="118" w:right="130" w:firstLine="3"/>
              <w:spacing w:before="101" w:line="278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9"/>
              </w:rPr>
              <w:t>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mg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9"/>
              </w:rPr>
              <w:t>/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kg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)</w:t>
            </w:r>
          </w:p>
        </w:tc>
        <w:tc>
          <w:tcPr>
            <w:tcW w:w="78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48"/>
              <w:spacing w:before="249" w:line="202" w:lineRule="auto"/>
              <w:rPr>
                <w:rFonts w:ascii="Times New Roman" w:hAnsi="Times New Roman" w:eastAsia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SO</w:t>
            </w:r>
            <w:r>
              <w:rPr>
                <w:rFonts w:ascii="Times New Roman" w:hAnsi="Times New Roman" w:eastAsia="Times New Roman" w:cs="Times New Roman"/>
                <w:sz w:val="13"/>
                <w:szCs w:val="13"/>
                <w:spacing w:val="3"/>
                <w:position w:val="-1"/>
              </w:rPr>
              <w:t>2</w:t>
            </w:r>
          </w:p>
          <w:p>
            <w:pPr>
              <w:ind w:left="143"/>
              <w:spacing w:before="114" w:line="201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(g/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kg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)</w:t>
            </w:r>
          </w:p>
        </w:tc>
        <w:tc>
          <w:tcPr>
            <w:tcW w:w="182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ind w:left="160"/>
              <w:spacing w:before="65" w:line="225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3"/>
              </w:rPr>
              <w:t>农残</w:t>
            </w:r>
          </w:p>
        </w:tc>
      </w:tr>
      <w:tr>
        <w:trPr>
          <w:trHeight w:val="639" w:hRule="atLeast"/>
        </w:trPr>
        <w:tc>
          <w:tcPr>
            <w:tcW w:w="2049" w:type="dxa"/>
            <w:vAlign w:val="top"/>
            <w:tcBorders>
              <w:top w:val="single" w:color="000000" w:sz="2" w:space="0"/>
            </w:tcBorders>
          </w:tcPr>
          <w:p>
            <w:pPr>
              <w:ind w:left="116"/>
              <w:spacing w:before="216" w:line="223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6"/>
              </w:rPr>
              <w:t>本标准</w:t>
            </w:r>
          </w:p>
        </w:tc>
        <w:tc>
          <w:tcPr>
            <w:tcW w:w="916" w:type="dxa"/>
            <w:vAlign w:val="top"/>
            <w:tcBorders>
              <w:top w:val="single" w:color="000000" w:sz="2" w:space="0"/>
            </w:tcBorders>
          </w:tcPr>
          <w:p>
            <w:pPr>
              <w:ind w:left="143"/>
              <w:spacing w:before="25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>12</w:t>
            </w:r>
          </w:p>
        </w:tc>
        <w:tc>
          <w:tcPr>
            <w:tcW w:w="860" w:type="dxa"/>
            <w:vAlign w:val="top"/>
            <w:tcBorders>
              <w:top w:val="single" w:color="000000" w:sz="2" w:space="0"/>
            </w:tcBorders>
          </w:tcPr>
          <w:p>
            <w:pPr>
              <w:ind w:left="120"/>
              <w:spacing w:before="25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420" w:type="dxa"/>
            <w:vAlign w:val="top"/>
            <w:tcBorders>
              <w:top w:val="single" w:color="000000" w:sz="2" w:space="0"/>
            </w:tcBorders>
          </w:tcPr>
          <w:p>
            <w:pPr>
              <w:ind w:left="121"/>
              <w:spacing w:before="25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0.9</w:t>
            </w:r>
          </w:p>
        </w:tc>
        <w:tc>
          <w:tcPr>
            <w:tcW w:w="966" w:type="dxa"/>
            <w:vAlign w:val="top"/>
            <w:tcBorders>
              <w:top w:val="single" w:color="000000" w:sz="2" w:space="0"/>
            </w:tcBorders>
          </w:tcPr>
          <w:p>
            <w:pPr>
              <w:ind w:left="126"/>
              <w:spacing w:before="25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0.5</w:t>
            </w:r>
          </w:p>
        </w:tc>
        <w:tc>
          <w:tcPr>
            <w:tcW w:w="1202" w:type="dxa"/>
            <w:vAlign w:val="top"/>
            <w:tcBorders>
              <w:top w:val="single" w:color="000000" w:sz="2" w:space="0"/>
            </w:tcBorders>
          </w:tcPr>
          <w:p>
            <w:pPr>
              <w:ind w:left="140"/>
              <w:spacing w:before="25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top"/>
            <w:tcBorders>
              <w:top w:val="single" w:color="000000" w:sz="2" w:space="0"/>
            </w:tcBorders>
          </w:tcPr>
          <w:p>
            <w:pPr>
              <w:ind w:left="121"/>
              <w:spacing w:before="25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0.5</w:t>
            </w:r>
          </w:p>
        </w:tc>
        <w:tc>
          <w:tcPr>
            <w:tcW w:w="1200" w:type="dxa"/>
            <w:vAlign w:val="top"/>
            <w:tcBorders>
              <w:top w:val="single" w:color="000000" w:sz="2" w:space="0"/>
            </w:tcBorders>
          </w:tcPr>
          <w:p>
            <w:pPr>
              <w:ind w:left="121"/>
              <w:spacing w:before="25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top"/>
            <w:tcBorders>
              <w:top w:val="single" w:color="000000" w:sz="2" w:space="0"/>
            </w:tcBorders>
          </w:tcPr>
          <w:p>
            <w:pPr>
              <w:ind w:left="138"/>
              <w:spacing w:before="25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top"/>
            <w:tcBorders>
              <w:top w:val="single" w:color="000000" w:sz="2" w:space="0"/>
            </w:tcBorders>
          </w:tcPr>
          <w:p>
            <w:pPr>
              <w:ind w:left="114"/>
              <w:spacing w:before="250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784" w:type="dxa"/>
            <w:vAlign w:val="top"/>
            <w:tcBorders>
              <w:top w:val="single" w:color="000000" w:sz="2" w:space="0"/>
            </w:tcBorders>
          </w:tcPr>
          <w:p>
            <w:pPr>
              <w:ind w:left="135"/>
              <w:spacing w:before="250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822" w:type="dxa"/>
            <w:vAlign w:val="top"/>
            <w:tcBorders>
              <w:top w:val="single" w:color="000000" w:sz="2" w:space="0"/>
            </w:tcBorders>
          </w:tcPr>
          <w:p>
            <w:pPr>
              <w:ind w:left="159" w:right="109" w:hanging="2"/>
              <w:spacing w:before="61" w:line="262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GB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2763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5"/>
                <w:w w:val="101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和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59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农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55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业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6"/>
              </w:rPr>
              <w:t>农村部</w:t>
            </w:r>
          </w:p>
        </w:tc>
      </w:tr>
      <w:tr>
        <w:trPr>
          <w:trHeight w:val="667" w:hRule="atLeast"/>
        </w:trPr>
        <w:tc>
          <w:tcPr>
            <w:tcW w:w="2049" w:type="dxa"/>
            <w:vAlign w:val="top"/>
          </w:tcPr>
          <w:p>
            <w:pPr>
              <w:ind w:left="119" w:right="682" w:hanging="7"/>
              <w:spacing w:before="63" w:line="274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>2023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5"/>
              </w:rPr>
              <w:t>年九种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1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7"/>
              </w:rPr>
              <w:t>食药物质公告</w:t>
            </w:r>
          </w:p>
        </w:tc>
        <w:tc>
          <w:tcPr>
            <w:tcW w:w="916" w:type="dxa"/>
            <w:vAlign w:val="top"/>
          </w:tcPr>
          <w:p>
            <w:pPr>
              <w:ind w:left="118"/>
              <w:spacing w:before="249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860" w:type="dxa"/>
            <w:vAlign w:val="top"/>
          </w:tcPr>
          <w:p>
            <w:pPr>
              <w:ind w:left="112"/>
              <w:spacing w:before="249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420" w:type="dxa"/>
            <w:vAlign w:val="top"/>
          </w:tcPr>
          <w:p>
            <w:pPr>
              <w:ind w:left="114"/>
              <w:spacing w:before="249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966" w:type="dxa"/>
            <w:vAlign w:val="top"/>
          </w:tcPr>
          <w:p>
            <w:pPr>
              <w:ind w:left="119"/>
              <w:spacing w:before="249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202" w:type="dxa"/>
            <w:vAlign w:val="top"/>
          </w:tcPr>
          <w:p>
            <w:pPr>
              <w:ind w:left="140"/>
              <w:spacing w:before="25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top"/>
          </w:tcPr>
          <w:p>
            <w:pPr>
              <w:ind w:left="121"/>
              <w:spacing w:before="25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0.5</w:t>
            </w:r>
          </w:p>
        </w:tc>
        <w:tc>
          <w:tcPr>
            <w:tcW w:w="1200" w:type="dxa"/>
            <w:vAlign w:val="top"/>
          </w:tcPr>
          <w:p>
            <w:pPr>
              <w:ind w:left="121"/>
              <w:spacing w:before="25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top"/>
          </w:tcPr>
          <w:p>
            <w:pPr>
              <w:ind w:left="138"/>
              <w:spacing w:before="25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top"/>
          </w:tcPr>
          <w:p>
            <w:pPr>
              <w:ind w:left="114"/>
              <w:spacing w:before="249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784" w:type="dxa"/>
            <w:vAlign w:val="top"/>
          </w:tcPr>
          <w:p>
            <w:pPr>
              <w:ind w:left="135"/>
              <w:spacing w:before="249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822" w:type="dxa"/>
            <w:vAlign w:val="top"/>
          </w:tcPr>
          <w:p>
            <w:pPr>
              <w:ind w:left="158" w:right="109" w:firstLine="5"/>
              <w:spacing w:before="63" w:line="274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21"/>
              </w:rPr>
              <w:t>应符合农业农村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8"/>
              </w:rPr>
              <w:t>部的相关规定</w:t>
            </w:r>
          </w:p>
        </w:tc>
      </w:tr>
      <w:tr>
        <w:trPr>
          <w:trHeight w:val="394" w:hRule="atLeast"/>
        </w:trPr>
        <w:tc>
          <w:tcPr>
            <w:tcW w:w="2049" w:type="dxa"/>
            <w:vAlign w:val="top"/>
          </w:tcPr>
          <w:p>
            <w:pPr>
              <w:ind w:left="141"/>
              <w:spacing w:before="91" w:line="222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1"/>
              </w:rPr>
              <w:t>中国药典</w:t>
            </w:r>
          </w:p>
        </w:tc>
        <w:tc>
          <w:tcPr>
            <w:tcW w:w="916" w:type="dxa"/>
            <w:vAlign w:val="top"/>
          </w:tcPr>
          <w:p>
            <w:pPr>
              <w:ind w:left="143"/>
              <w:spacing w:before="12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>17</w:t>
            </w:r>
          </w:p>
        </w:tc>
        <w:tc>
          <w:tcPr>
            <w:tcW w:w="860" w:type="dxa"/>
            <w:vAlign w:val="top"/>
          </w:tcPr>
          <w:p>
            <w:pPr>
              <w:ind w:left="120"/>
              <w:spacing w:before="12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3.2</w:t>
            </w:r>
          </w:p>
        </w:tc>
        <w:tc>
          <w:tcPr>
            <w:tcW w:w="1420" w:type="dxa"/>
            <w:vAlign w:val="top"/>
          </w:tcPr>
          <w:p>
            <w:pPr>
              <w:ind w:left="121"/>
              <w:spacing w:before="12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0.9</w:t>
            </w:r>
          </w:p>
        </w:tc>
        <w:tc>
          <w:tcPr>
            <w:tcW w:w="966" w:type="dxa"/>
            <w:vAlign w:val="top"/>
          </w:tcPr>
          <w:p>
            <w:pPr>
              <w:ind w:left="126"/>
              <w:spacing w:before="12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0.5</w:t>
            </w:r>
          </w:p>
        </w:tc>
        <w:tc>
          <w:tcPr>
            <w:tcW w:w="1202" w:type="dxa"/>
            <w:vAlign w:val="top"/>
          </w:tcPr>
          <w:p>
            <w:pPr>
              <w:ind w:left="116"/>
              <w:spacing w:before="122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200" w:type="dxa"/>
            <w:vAlign w:val="top"/>
          </w:tcPr>
          <w:p>
            <w:pPr>
              <w:ind w:left="114"/>
              <w:spacing w:before="122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200" w:type="dxa"/>
            <w:vAlign w:val="top"/>
          </w:tcPr>
          <w:p>
            <w:pPr>
              <w:ind w:left="114"/>
              <w:spacing w:before="122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200" w:type="dxa"/>
            <w:vAlign w:val="top"/>
          </w:tcPr>
          <w:p>
            <w:pPr>
              <w:ind w:left="114"/>
              <w:spacing w:before="122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850" w:type="dxa"/>
            <w:vAlign w:val="top"/>
          </w:tcPr>
          <w:p>
            <w:pPr>
              <w:ind w:left="114"/>
              <w:spacing w:before="122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784" w:type="dxa"/>
            <w:vAlign w:val="top"/>
          </w:tcPr>
          <w:p>
            <w:pPr>
              <w:ind w:left="135"/>
              <w:spacing w:before="122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822" w:type="dxa"/>
            <w:vAlign w:val="top"/>
          </w:tcPr>
          <w:p>
            <w:pPr>
              <w:ind w:left="157"/>
              <w:spacing w:before="12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GB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2763</w:t>
            </w:r>
          </w:p>
        </w:tc>
      </w:tr>
      <w:tr>
        <w:trPr>
          <w:trHeight w:val="708" w:hRule="atLeast"/>
        </w:trPr>
        <w:tc>
          <w:tcPr>
            <w:tcW w:w="2049" w:type="dxa"/>
            <w:vAlign w:val="top"/>
          </w:tcPr>
          <w:p>
            <w:pPr>
              <w:ind w:left="119"/>
              <w:spacing w:before="100" w:line="222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福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2"/>
              </w:rPr>
              <w:t xml:space="preserve">     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建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4"/>
              </w:rPr>
              <w:t xml:space="preserve">     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省</w:t>
            </w:r>
          </w:p>
          <w:p>
            <w:pPr>
              <w:ind w:left="116"/>
              <w:spacing w:before="72" w:line="222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>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DBS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>35/008-2024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5"/>
              </w:rPr>
              <w:t>）</w:t>
            </w:r>
          </w:p>
        </w:tc>
        <w:tc>
          <w:tcPr>
            <w:tcW w:w="916" w:type="dxa"/>
            <w:vAlign w:val="top"/>
          </w:tcPr>
          <w:p>
            <w:pPr>
              <w:ind w:left="143"/>
              <w:spacing w:before="29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>12</w:t>
            </w:r>
          </w:p>
        </w:tc>
        <w:tc>
          <w:tcPr>
            <w:tcW w:w="860" w:type="dxa"/>
            <w:vAlign w:val="top"/>
          </w:tcPr>
          <w:p>
            <w:pPr>
              <w:ind w:left="120"/>
              <w:spacing w:before="29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420" w:type="dxa"/>
            <w:vAlign w:val="top"/>
          </w:tcPr>
          <w:p>
            <w:pPr>
              <w:ind w:left="128" w:right="96" w:hanging="7"/>
              <w:spacing w:before="99" w:line="27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0.9(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 xml:space="preserve">            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1"/>
              </w:rPr>
              <w:t>赤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3"/>
              </w:rPr>
              <w:t>芝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)/0.7(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3"/>
              </w:rPr>
              <w:t>紫芝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)</w:t>
            </w:r>
          </w:p>
        </w:tc>
        <w:tc>
          <w:tcPr>
            <w:tcW w:w="966" w:type="dxa"/>
            <w:vAlign w:val="top"/>
          </w:tcPr>
          <w:p>
            <w:pPr>
              <w:ind w:left="126"/>
              <w:spacing w:before="29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0.5</w:t>
            </w:r>
          </w:p>
        </w:tc>
        <w:tc>
          <w:tcPr>
            <w:tcW w:w="1202" w:type="dxa"/>
            <w:vAlign w:val="top"/>
          </w:tcPr>
          <w:p>
            <w:pPr>
              <w:ind w:left="140"/>
              <w:spacing w:before="29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top"/>
          </w:tcPr>
          <w:p>
            <w:pPr>
              <w:ind w:left="121"/>
              <w:spacing w:before="29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0.5</w:t>
            </w:r>
          </w:p>
        </w:tc>
        <w:tc>
          <w:tcPr>
            <w:tcW w:w="1200" w:type="dxa"/>
            <w:vAlign w:val="top"/>
          </w:tcPr>
          <w:p>
            <w:pPr>
              <w:ind w:left="121"/>
              <w:spacing w:before="29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top"/>
          </w:tcPr>
          <w:p>
            <w:pPr>
              <w:ind w:left="138"/>
              <w:spacing w:before="29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top"/>
          </w:tcPr>
          <w:p>
            <w:pPr>
              <w:ind w:left="114"/>
              <w:spacing w:before="290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784" w:type="dxa"/>
            <w:vAlign w:val="top"/>
          </w:tcPr>
          <w:p>
            <w:pPr>
              <w:ind w:left="135"/>
              <w:spacing w:before="290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822" w:type="dxa"/>
            <w:vAlign w:val="top"/>
          </w:tcPr>
          <w:p>
            <w:pPr>
              <w:ind w:left="157"/>
              <w:spacing w:before="29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GB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2763</w:t>
            </w:r>
          </w:p>
        </w:tc>
      </w:tr>
      <w:tr>
        <w:trPr>
          <w:trHeight w:val="681" w:hRule="atLeast"/>
        </w:trPr>
        <w:tc>
          <w:tcPr>
            <w:tcW w:w="2049" w:type="dxa"/>
            <w:vAlign w:val="top"/>
          </w:tcPr>
          <w:p>
            <w:pPr>
              <w:ind w:left="142"/>
              <w:spacing w:before="74" w:line="225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2"/>
              </w:rPr>
              <w:t>山东省</w:t>
            </w:r>
          </w:p>
          <w:p>
            <w:pPr>
              <w:ind w:left="116"/>
              <w:spacing w:before="98" w:line="201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>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DBS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>37/003-2024)</w:t>
            </w:r>
          </w:p>
        </w:tc>
        <w:tc>
          <w:tcPr>
            <w:tcW w:w="916" w:type="dxa"/>
            <w:vAlign w:val="top"/>
          </w:tcPr>
          <w:p>
            <w:pPr>
              <w:ind w:left="143"/>
              <w:spacing w:before="26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>17</w:t>
            </w:r>
          </w:p>
        </w:tc>
        <w:tc>
          <w:tcPr>
            <w:tcW w:w="860" w:type="dxa"/>
            <w:vAlign w:val="top"/>
          </w:tcPr>
          <w:p>
            <w:pPr>
              <w:ind w:left="120"/>
              <w:spacing w:before="26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3.2</w:t>
            </w:r>
          </w:p>
        </w:tc>
        <w:tc>
          <w:tcPr>
            <w:tcW w:w="1420" w:type="dxa"/>
            <w:vAlign w:val="top"/>
          </w:tcPr>
          <w:p>
            <w:pPr>
              <w:ind w:left="121"/>
              <w:spacing w:before="26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0.9</w:t>
            </w:r>
          </w:p>
        </w:tc>
        <w:tc>
          <w:tcPr>
            <w:tcW w:w="966" w:type="dxa"/>
            <w:vAlign w:val="top"/>
          </w:tcPr>
          <w:p>
            <w:pPr>
              <w:ind w:left="119"/>
              <w:spacing w:before="261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202" w:type="dxa"/>
            <w:vAlign w:val="top"/>
          </w:tcPr>
          <w:p>
            <w:pPr>
              <w:ind w:left="140"/>
              <w:spacing w:before="26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top"/>
          </w:tcPr>
          <w:p>
            <w:pPr>
              <w:ind w:left="121"/>
              <w:spacing w:before="26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0.5</w:t>
            </w:r>
          </w:p>
        </w:tc>
        <w:tc>
          <w:tcPr>
            <w:tcW w:w="1200" w:type="dxa"/>
            <w:vAlign w:val="top"/>
          </w:tcPr>
          <w:p>
            <w:pPr>
              <w:ind w:left="121"/>
              <w:spacing w:before="26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top"/>
          </w:tcPr>
          <w:p>
            <w:pPr>
              <w:ind w:left="138"/>
              <w:spacing w:before="26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top"/>
          </w:tcPr>
          <w:p>
            <w:pPr>
              <w:ind w:left="114"/>
              <w:spacing w:before="261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784" w:type="dxa"/>
            <w:vAlign w:val="top"/>
          </w:tcPr>
          <w:p>
            <w:pPr>
              <w:ind w:left="135"/>
              <w:spacing w:before="261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822" w:type="dxa"/>
            <w:vAlign w:val="top"/>
          </w:tcPr>
          <w:p>
            <w:pPr>
              <w:ind w:left="157"/>
              <w:spacing w:before="26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GB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2763</w:t>
            </w:r>
          </w:p>
        </w:tc>
      </w:tr>
      <w:tr>
        <w:trPr>
          <w:trHeight w:val="309" w:hRule="atLeast"/>
        </w:trPr>
        <w:tc>
          <w:tcPr>
            <w:tcW w:w="20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2" w:type="dxa"/>
            <w:vAlign w:val="top"/>
          </w:tcPr>
          <w:p>
            <w:pPr>
              <w:ind w:left="123"/>
              <w:spacing w:before="77" w:line="201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 xml:space="preserve">      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GB</w:t>
            </w:r>
          </w:p>
        </w:tc>
        <w:tc>
          <w:tcPr>
            <w:tcW w:w="1200" w:type="dxa"/>
            <w:vAlign w:val="top"/>
          </w:tcPr>
          <w:p>
            <w:pPr>
              <w:ind w:left="121"/>
              <w:spacing w:before="77" w:line="201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 xml:space="preserve">      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GB</w:t>
            </w:r>
          </w:p>
        </w:tc>
        <w:tc>
          <w:tcPr>
            <w:tcW w:w="1200" w:type="dxa"/>
            <w:vAlign w:val="top"/>
          </w:tcPr>
          <w:p>
            <w:pPr>
              <w:ind w:left="121"/>
              <w:spacing w:before="77" w:line="201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0.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 xml:space="preserve">      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(GB</w:t>
            </w:r>
          </w:p>
        </w:tc>
        <w:tc>
          <w:tcPr>
            <w:tcW w:w="1200" w:type="dxa"/>
            <w:vAlign w:val="top"/>
          </w:tcPr>
          <w:p>
            <w:pPr>
              <w:ind w:left="121"/>
              <w:spacing w:before="77" w:line="201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0.5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 xml:space="preserve">      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GB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45" w:hRule="atLeast"/>
        </w:trPr>
        <w:tc>
          <w:tcPr>
            <w:tcW w:w="2049" w:type="dxa"/>
            <w:vAlign w:val="top"/>
          </w:tcPr>
          <w:p>
            <w:pPr>
              <w:ind w:left="125"/>
              <w:spacing w:before="46" w:line="224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3"/>
              </w:rPr>
              <w:t>重庆市</w:t>
            </w:r>
          </w:p>
          <w:p>
            <w:pPr>
              <w:ind w:left="116"/>
              <w:spacing w:before="69" w:line="222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>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DBS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>50/032-2023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5"/>
              </w:rPr>
              <w:t>）</w:t>
            </w:r>
          </w:p>
        </w:tc>
        <w:tc>
          <w:tcPr>
            <w:tcW w:w="916" w:type="dxa"/>
            <w:vAlign w:val="top"/>
          </w:tcPr>
          <w:p>
            <w:pPr>
              <w:ind w:left="143"/>
              <w:spacing w:before="24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>12</w:t>
            </w:r>
          </w:p>
        </w:tc>
        <w:tc>
          <w:tcPr>
            <w:tcW w:w="860" w:type="dxa"/>
            <w:vAlign w:val="top"/>
          </w:tcPr>
          <w:p>
            <w:pPr>
              <w:ind w:left="112"/>
              <w:spacing w:before="236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420" w:type="dxa"/>
            <w:vAlign w:val="top"/>
          </w:tcPr>
          <w:p>
            <w:pPr>
              <w:ind w:left="114"/>
              <w:spacing w:before="236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966" w:type="dxa"/>
            <w:vAlign w:val="top"/>
          </w:tcPr>
          <w:p>
            <w:pPr>
              <w:ind w:left="119"/>
              <w:spacing w:before="236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202" w:type="dxa"/>
            <w:vAlign w:val="top"/>
          </w:tcPr>
          <w:p>
            <w:pPr>
              <w:ind w:left="123" w:right="104" w:hanging="3"/>
              <w:spacing w:before="47" w:line="273" w:lineRule="auto"/>
              <w:jc w:val="both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2762 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2"/>
              </w:rPr>
              <w:t>对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40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2"/>
              </w:rPr>
              <w:t>食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11"/>
              </w:rPr>
              <w:t>用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11"/>
              </w:rPr>
              <w:t>菌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11"/>
              </w:rPr>
              <w:t>的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23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11"/>
              </w:rPr>
              <w:t>限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3"/>
              </w:rPr>
              <w:t>定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)</w:t>
            </w:r>
          </w:p>
        </w:tc>
        <w:tc>
          <w:tcPr>
            <w:tcW w:w="1200" w:type="dxa"/>
            <w:vAlign w:val="top"/>
          </w:tcPr>
          <w:p>
            <w:pPr>
              <w:ind w:left="121" w:right="104" w:hanging="3"/>
              <w:spacing w:before="47" w:line="273" w:lineRule="auto"/>
              <w:jc w:val="both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2762 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2"/>
              </w:rPr>
              <w:t>对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40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2"/>
              </w:rPr>
              <w:t>食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11"/>
              </w:rPr>
              <w:t>用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11"/>
              </w:rPr>
              <w:t>菌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11"/>
              </w:rPr>
              <w:t>的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23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11"/>
              </w:rPr>
              <w:t>限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3"/>
              </w:rPr>
              <w:t>定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)</w:t>
            </w:r>
          </w:p>
        </w:tc>
        <w:tc>
          <w:tcPr>
            <w:tcW w:w="1200" w:type="dxa"/>
            <w:vAlign w:val="top"/>
          </w:tcPr>
          <w:p>
            <w:pPr>
              <w:ind w:left="121" w:right="104" w:hanging="3"/>
              <w:spacing w:before="47" w:line="273" w:lineRule="auto"/>
              <w:jc w:val="both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2762 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2"/>
              </w:rPr>
              <w:t>对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40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2"/>
              </w:rPr>
              <w:t>食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11"/>
              </w:rPr>
              <w:t>用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11"/>
              </w:rPr>
              <w:t>菌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11"/>
              </w:rPr>
              <w:t>的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23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11"/>
              </w:rPr>
              <w:t>限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3"/>
              </w:rPr>
              <w:t>定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)</w:t>
            </w:r>
          </w:p>
        </w:tc>
        <w:tc>
          <w:tcPr>
            <w:tcW w:w="1200" w:type="dxa"/>
            <w:vAlign w:val="top"/>
          </w:tcPr>
          <w:p>
            <w:pPr>
              <w:ind w:left="121" w:right="104" w:hanging="3"/>
              <w:spacing w:before="47" w:line="273" w:lineRule="auto"/>
              <w:jc w:val="both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2762 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2"/>
              </w:rPr>
              <w:t>对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40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2"/>
              </w:rPr>
              <w:t>食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11"/>
              </w:rPr>
              <w:t>用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11"/>
              </w:rPr>
              <w:t>菌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11"/>
              </w:rPr>
              <w:t>的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23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11"/>
              </w:rPr>
              <w:t>限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3"/>
              </w:rPr>
              <w:t>定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)</w:t>
            </w:r>
          </w:p>
        </w:tc>
        <w:tc>
          <w:tcPr>
            <w:tcW w:w="850" w:type="dxa"/>
            <w:vAlign w:val="top"/>
          </w:tcPr>
          <w:p>
            <w:pPr>
              <w:ind w:left="114"/>
              <w:spacing w:before="236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784" w:type="dxa"/>
            <w:vAlign w:val="top"/>
          </w:tcPr>
          <w:p>
            <w:pPr>
              <w:ind w:left="142"/>
              <w:spacing w:before="24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0.05</w:t>
            </w:r>
          </w:p>
        </w:tc>
        <w:tc>
          <w:tcPr>
            <w:tcW w:w="1822" w:type="dxa"/>
            <w:vAlign w:val="top"/>
          </w:tcPr>
          <w:p>
            <w:pPr>
              <w:ind w:left="150"/>
              <w:spacing w:before="236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</w:tr>
      <w:tr>
        <w:trPr>
          <w:trHeight w:val="645" w:hRule="atLeast"/>
        </w:trPr>
        <w:tc>
          <w:tcPr>
            <w:tcW w:w="2049" w:type="dxa"/>
            <w:vAlign w:val="top"/>
          </w:tcPr>
          <w:p>
            <w:pPr>
              <w:ind w:left="121"/>
              <w:spacing w:before="56" w:line="224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5"/>
              </w:rPr>
              <w:t>贵州省</w:t>
            </w:r>
          </w:p>
          <w:p>
            <w:pPr>
              <w:ind w:left="116"/>
              <w:spacing w:before="69" w:line="220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>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DBS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>52/057-2022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5"/>
              </w:rPr>
              <w:t>）</w:t>
            </w:r>
          </w:p>
        </w:tc>
        <w:tc>
          <w:tcPr>
            <w:tcW w:w="916" w:type="dxa"/>
            <w:vAlign w:val="top"/>
          </w:tcPr>
          <w:p>
            <w:pPr>
              <w:ind w:left="143"/>
              <w:spacing w:before="24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>13</w:t>
            </w:r>
          </w:p>
        </w:tc>
        <w:tc>
          <w:tcPr>
            <w:tcW w:w="860" w:type="dxa"/>
            <w:vAlign w:val="top"/>
          </w:tcPr>
          <w:p>
            <w:pPr>
              <w:ind w:left="122"/>
              <w:spacing w:before="250" w:line="192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  <w:vAlign w:val="top"/>
          </w:tcPr>
          <w:p>
            <w:pPr>
              <w:ind w:left="121"/>
              <w:spacing w:before="24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0.9</w:t>
            </w:r>
          </w:p>
        </w:tc>
        <w:tc>
          <w:tcPr>
            <w:tcW w:w="966" w:type="dxa"/>
            <w:vAlign w:val="top"/>
          </w:tcPr>
          <w:p>
            <w:pPr>
              <w:ind w:left="119"/>
              <w:spacing w:before="244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202" w:type="dxa"/>
            <w:vAlign w:val="top"/>
          </w:tcPr>
          <w:p>
            <w:pPr>
              <w:ind w:left="120"/>
              <w:spacing w:before="24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top"/>
          </w:tcPr>
          <w:p>
            <w:pPr>
              <w:ind w:left="114"/>
              <w:spacing w:before="244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200" w:type="dxa"/>
            <w:vAlign w:val="top"/>
          </w:tcPr>
          <w:p>
            <w:pPr>
              <w:ind w:left="114"/>
              <w:spacing w:before="244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200" w:type="dxa"/>
            <w:vAlign w:val="top"/>
          </w:tcPr>
          <w:p>
            <w:pPr>
              <w:ind w:left="138"/>
              <w:spacing w:before="24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top"/>
          </w:tcPr>
          <w:p>
            <w:pPr>
              <w:ind w:left="114"/>
              <w:spacing w:before="244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784" w:type="dxa"/>
            <w:vAlign w:val="top"/>
          </w:tcPr>
          <w:p>
            <w:pPr>
              <w:ind w:left="135"/>
              <w:spacing w:before="244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822" w:type="dxa"/>
            <w:vAlign w:val="top"/>
          </w:tcPr>
          <w:p>
            <w:pPr>
              <w:ind w:left="157"/>
              <w:spacing w:before="24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GB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2763</w:t>
            </w:r>
          </w:p>
        </w:tc>
      </w:tr>
      <w:tr>
        <w:trPr>
          <w:trHeight w:val="638" w:hRule="atLeast"/>
        </w:trPr>
        <w:tc>
          <w:tcPr>
            <w:tcW w:w="2049" w:type="dxa"/>
            <w:vAlign w:val="top"/>
          </w:tcPr>
          <w:p>
            <w:pPr>
              <w:ind w:left="115"/>
              <w:spacing w:before="62" w:line="224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7"/>
              </w:rPr>
              <w:t>广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19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7"/>
              </w:rPr>
              <w:t>西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7"/>
              </w:rPr>
              <w:t>壮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31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7"/>
              </w:rPr>
              <w:t>族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10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7"/>
              </w:rPr>
              <w:t>自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7"/>
              </w:rPr>
              <w:t>治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7"/>
              </w:rPr>
              <w:t>区</w:t>
            </w:r>
          </w:p>
          <w:p>
            <w:pPr>
              <w:ind w:left="112"/>
              <w:spacing w:before="69" w:line="234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6"/>
              </w:rPr>
              <w:t>（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DBS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6"/>
              </w:rPr>
              <w:t>45/072-2021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6"/>
              </w:rPr>
              <w:t>）</w:t>
            </w:r>
          </w:p>
        </w:tc>
        <w:tc>
          <w:tcPr>
            <w:tcW w:w="916" w:type="dxa"/>
            <w:vAlign w:val="top"/>
          </w:tcPr>
          <w:p>
            <w:pPr>
              <w:ind w:left="143"/>
              <w:spacing w:before="25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>15</w:t>
            </w:r>
          </w:p>
        </w:tc>
        <w:tc>
          <w:tcPr>
            <w:tcW w:w="860" w:type="dxa"/>
            <w:vAlign w:val="top"/>
          </w:tcPr>
          <w:p>
            <w:pPr>
              <w:ind w:left="112"/>
              <w:spacing w:before="249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420" w:type="dxa"/>
            <w:vAlign w:val="top"/>
          </w:tcPr>
          <w:p>
            <w:pPr>
              <w:ind w:left="121"/>
              <w:spacing w:before="25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0.9</w:t>
            </w:r>
          </w:p>
        </w:tc>
        <w:tc>
          <w:tcPr>
            <w:tcW w:w="966" w:type="dxa"/>
            <w:vAlign w:val="top"/>
          </w:tcPr>
          <w:p>
            <w:pPr>
              <w:ind w:left="119"/>
              <w:spacing w:before="249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202" w:type="dxa"/>
            <w:vAlign w:val="top"/>
          </w:tcPr>
          <w:p>
            <w:pPr>
              <w:ind w:left="140"/>
              <w:spacing w:before="25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top"/>
          </w:tcPr>
          <w:p>
            <w:pPr>
              <w:ind w:left="121"/>
              <w:spacing w:before="25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0.5</w:t>
            </w:r>
          </w:p>
        </w:tc>
        <w:tc>
          <w:tcPr>
            <w:tcW w:w="1200" w:type="dxa"/>
            <w:vAlign w:val="top"/>
          </w:tcPr>
          <w:p>
            <w:pPr>
              <w:ind w:left="121"/>
              <w:spacing w:before="25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top"/>
          </w:tcPr>
          <w:p>
            <w:pPr>
              <w:ind w:left="121"/>
              <w:spacing w:before="25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0.5</w:t>
            </w:r>
          </w:p>
        </w:tc>
        <w:tc>
          <w:tcPr>
            <w:tcW w:w="850" w:type="dxa"/>
            <w:vAlign w:val="top"/>
          </w:tcPr>
          <w:p>
            <w:pPr>
              <w:ind w:left="118"/>
              <w:spacing w:before="25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784" w:type="dxa"/>
            <w:vAlign w:val="top"/>
          </w:tcPr>
          <w:p>
            <w:pPr>
              <w:ind w:left="135"/>
              <w:spacing w:before="249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822" w:type="dxa"/>
            <w:vAlign w:val="top"/>
          </w:tcPr>
          <w:p>
            <w:pPr>
              <w:ind w:left="157"/>
              <w:spacing w:before="25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GB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2763</w:t>
            </w:r>
          </w:p>
        </w:tc>
      </w:tr>
      <w:tr>
        <w:trPr>
          <w:trHeight w:val="687" w:hRule="atLeast"/>
        </w:trPr>
        <w:tc>
          <w:tcPr>
            <w:tcW w:w="2049" w:type="dxa"/>
            <w:vAlign w:val="top"/>
            <w:tcBorders>
              <w:bottom w:val="single" w:color="000000" w:sz="2" w:space="0"/>
            </w:tcBorders>
          </w:tcPr>
          <w:p>
            <w:pPr>
              <w:ind w:left="124"/>
              <w:spacing w:before="84" w:line="225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4"/>
              </w:rPr>
              <w:t>云南省</w:t>
            </w:r>
          </w:p>
          <w:p>
            <w:pPr>
              <w:ind w:left="116"/>
              <w:spacing w:before="68" w:line="220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>(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DBS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>53/036-2023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5"/>
              </w:rPr>
              <w:t>）</w:t>
            </w:r>
          </w:p>
        </w:tc>
        <w:tc>
          <w:tcPr>
            <w:tcW w:w="916" w:type="dxa"/>
            <w:vAlign w:val="top"/>
            <w:tcBorders>
              <w:bottom w:val="single" w:color="000000" w:sz="2" w:space="0"/>
            </w:tcBorders>
          </w:tcPr>
          <w:p>
            <w:pPr>
              <w:ind w:left="143"/>
              <w:spacing w:before="27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>15</w:t>
            </w:r>
          </w:p>
        </w:tc>
        <w:tc>
          <w:tcPr>
            <w:tcW w:w="860" w:type="dxa"/>
            <w:vAlign w:val="top"/>
            <w:tcBorders>
              <w:bottom w:val="single" w:color="000000" w:sz="2" w:space="0"/>
            </w:tcBorders>
          </w:tcPr>
          <w:p>
            <w:pPr>
              <w:ind w:left="112"/>
              <w:spacing w:before="271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420" w:type="dxa"/>
            <w:vAlign w:val="top"/>
            <w:tcBorders>
              <w:bottom w:val="single" w:color="000000" w:sz="2" w:space="0"/>
            </w:tcBorders>
          </w:tcPr>
          <w:p>
            <w:pPr>
              <w:ind w:left="121"/>
              <w:spacing w:before="27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0.5</w:t>
            </w:r>
          </w:p>
        </w:tc>
        <w:tc>
          <w:tcPr>
            <w:tcW w:w="966" w:type="dxa"/>
            <w:vAlign w:val="top"/>
            <w:tcBorders>
              <w:bottom w:val="single" w:color="000000" w:sz="2" w:space="0"/>
            </w:tcBorders>
          </w:tcPr>
          <w:p>
            <w:pPr>
              <w:ind w:left="119"/>
              <w:spacing w:before="271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202" w:type="dxa"/>
            <w:vAlign w:val="top"/>
            <w:tcBorders>
              <w:bottom w:val="single" w:color="000000" w:sz="2" w:space="0"/>
            </w:tcBorders>
          </w:tcPr>
          <w:p>
            <w:pPr>
              <w:ind w:left="140"/>
              <w:spacing w:before="27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top"/>
            <w:tcBorders>
              <w:bottom w:val="single" w:color="000000" w:sz="2" w:space="0"/>
            </w:tcBorders>
          </w:tcPr>
          <w:p>
            <w:pPr>
              <w:ind w:left="121"/>
              <w:spacing w:before="27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0.8</w:t>
            </w:r>
          </w:p>
        </w:tc>
        <w:tc>
          <w:tcPr>
            <w:tcW w:w="1200" w:type="dxa"/>
            <w:vAlign w:val="top"/>
            <w:tcBorders>
              <w:bottom w:val="single" w:color="000000" w:sz="2" w:space="0"/>
            </w:tcBorders>
          </w:tcPr>
          <w:p>
            <w:pPr>
              <w:ind w:left="121"/>
              <w:spacing w:before="27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top"/>
            <w:tcBorders>
              <w:bottom w:val="single" w:color="000000" w:sz="2" w:space="0"/>
            </w:tcBorders>
          </w:tcPr>
          <w:p>
            <w:pPr>
              <w:ind w:left="121"/>
              <w:spacing w:before="27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0.5</w:t>
            </w:r>
          </w:p>
        </w:tc>
        <w:tc>
          <w:tcPr>
            <w:tcW w:w="850" w:type="dxa"/>
            <w:vAlign w:val="top"/>
            <w:tcBorders>
              <w:bottom w:val="single" w:color="000000" w:sz="2" w:space="0"/>
            </w:tcBorders>
          </w:tcPr>
          <w:p>
            <w:pPr>
              <w:ind w:left="114"/>
              <w:spacing w:before="271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784" w:type="dxa"/>
            <w:vAlign w:val="top"/>
            <w:tcBorders>
              <w:bottom w:val="single" w:color="000000" w:sz="2" w:space="0"/>
            </w:tcBorders>
          </w:tcPr>
          <w:p>
            <w:pPr>
              <w:ind w:left="135"/>
              <w:spacing w:before="271" w:line="19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/</w:t>
            </w:r>
          </w:p>
        </w:tc>
        <w:tc>
          <w:tcPr>
            <w:tcW w:w="1822" w:type="dxa"/>
            <w:vAlign w:val="top"/>
            <w:tcBorders>
              <w:bottom w:val="single" w:color="000000" w:sz="2" w:space="0"/>
            </w:tcBorders>
          </w:tcPr>
          <w:p>
            <w:pPr>
              <w:ind w:left="157"/>
              <w:spacing w:before="27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GB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2763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6"/>
          <w:pgSz w:w="16839" w:h="11906"/>
          <w:pgMar w:top="400" w:right="938" w:bottom="1362" w:left="1430" w:header="0" w:footer="1200" w:gutter="0"/>
        </w:sectPr>
        <w:rPr/>
      </w:pPr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5821"/>
        <w:spacing w:before="273" w:line="190" w:lineRule="auto"/>
        <w:rPr>
          <w:rFonts w:ascii="Times New Roman" w:hAnsi="Times New Roman" w:eastAsia="Times New Roman" w:cs="Times New Roman"/>
          <w:sz w:val="95"/>
          <w:szCs w:val="95"/>
        </w:rPr>
      </w:pPr>
      <w:r>
        <w:rPr>
          <w:rFonts w:ascii="Times New Roman" w:hAnsi="Times New Roman" w:eastAsia="Times New Roman" w:cs="Times New Roman"/>
          <w:sz w:val="95"/>
          <w:szCs w:val="95"/>
          <w:b/>
          <w:bCs/>
          <w:spacing w:val="54"/>
          <w:w w:val="121"/>
        </w:rPr>
        <w:t>DBS33</w:t>
      </w:r>
    </w:p>
    <w:p>
      <w:pPr>
        <w:spacing w:before="375" w:line="221" w:lineRule="auto"/>
        <w:jc w:val="right"/>
        <w:rPr>
          <w:rFonts w:ascii="SimHei" w:hAnsi="SimHei" w:eastAsia="SimHei" w:cs="SimHei"/>
          <w:sz w:val="52"/>
          <w:szCs w:val="52"/>
        </w:rPr>
      </w:pPr>
      <w:r>
        <w:rPr>
          <w:rFonts w:ascii="SimHei" w:hAnsi="SimHei" w:eastAsia="SimHei" w:cs="SimHei"/>
          <w:sz w:val="52"/>
          <w:szCs w:val="52"/>
          <w:spacing w:val="-12"/>
        </w:rPr>
        <w:t>浙</w:t>
      </w:r>
      <w:r>
        <w:rPr>
          <w:rFonts w:ascii="SimHei" w:hAnsi="SimHei" w:eastAsia="SimHei" w:cs="SimHei"/>
          <w:sz w:val="52"/>
          <w:szCs w:val="52"/>
          <w:spacing w:val="-12"/>
        </w:rPr>
        <w:t xml:space="preserve">    </w:t>
      </w:r>
      <w:r>
        <w:rPr>
          <w:rFonts w:ascii="SimHei" w:hAnsi="SimHei" w:eastAsia="SimHei" w:cs="SimHei"/>
          <w:sz w:val="52"/>
          <w:szCs w:val="52"/>
          <w:spacing w:val="-12"/>
        </w:rPr>
        <w:t>江</w:t>
      </w:r>
      <w:r>
        <w:rPr>
          <w:rFonts w:ascii="SimHei" w:hAnsi="SimHei" w:eastAsia="SimHei" w:cs="SimHei"/>
          <w:sz w:val="52"/>
          <w:szCs w:val="52"/>
          <w:spacing w:val="-12"/>
        </w:rPr>
        <w:t xml:space="preserve">    </w:t>
      </w:r>
      <w:r>
        <w:rPr>
          <w:rFonts w:ascii="SimHei" w:hAnsi="SimHei" w:eastAsia="SimHei" w:cs="SimHei"/>
          <w:sz w:val="52"/>
          <w:szCs w:val="52"/>
          <w:spacing w:val="-12"/>
        </w:rPr>
        <w:t>省</w:t>
      </w:r>
      <w:r>
        <w:rPr>
          <w:rFonts w:ascii="SimHei" w:hAnsi="SimHei" w:eastAsia="SimHei" w:cs="SimHei"/>
          <w:sz w:val="52"/>
          <w:szCs w:val="52"/>
          <w:spacing w:val="83"/>
        </w:rPr>
        <w:t xml:space="preserve">   </w:t>
      </w:r>
      <w:r>
        <w:rPr>
          <w:rFonts w:ascii="SimHei" w:hAnsi="SimHei" w:eastAsia="SimHei" w:cs="SimHei"/>
          <w:sz w:val="52"/>
          <w:szCs w:val="52"/>
          <w:spacing w:val="-12"/>
        </w:rPr>
        <w:t>地</w:t>
      </w:r>
      <w:r>
        <w:rPr>
          <w:rFonts w:ascii="SimHei" w:hAnsi="SimHei" w:eastAsia="SimHei" w:cs="SimHei"/>
          <w:sz w:val="52"/>
          <w:szCs w:val="52"/>
          <w:spacing w:val="83"/>
        </w:rPr>
        <w:t xml:space="preserve">   </w:t>
      </w:r>
      <w:r>
        <w:rPr>
          <w:rFonts w:ascii="SimHei" w:hAnsi="SimHei" w:eastAsia="SimHei" w:cs="SimHei"/>
          <w:sz w:val="52"/>
          <w:szCs w:val="52"/>
          <w:spacing w:val="-12"/>
        </w:rPr>
        <w:t>方</w:t>
      </w:r>
      <w:r>
        <w:rPr>
          <w:rFonts w:ascii="SimHei" w:hAnsi="SimHei" w:eastAsia="SimHei" w:cs="SimHei"/>
          <w:sz w:val="52"/>
          <w:szCs w:val="52"/>
          <w:spacing w:val="-12"/>
        </w:rPr>
        <w:t xml:space="preserve">    </w:t>
      </w:r>
      <w:r>
        <w:rPr>
          <w:rFonts w:ascii="SimHei" w:hAnsi="SimHei" w:eastAsia="SimHei" w:cs="SimHei"/>
          <w:sz w:val="52"/>
          <w:szCs w:val="52"/>
          <w:spacing w:val="-12"/>
        </w:rPr>
        <w:t>标</w:t>
      </w:r>
      <w:r>
        <w:rPr>
          <w:rFonts w:ascii="SimHei" w:hAnsi="SimHei" w:eastAsia="SimHei" w:cs="SimHei"/>
          <w:sz w:val="52"/>
          <w:szCs w:val="52"/>
          <w:spacing w:val="80"/>
        </w:rPr>
        <w:t xml:space="preserve">   </w:t>
      </w:r>
      <w:r>
        <w:rPr>
          <w:rFonts w:ascii="SimHei" w:hAnsi="SimHei" w:eastAsia="SimHei" w:cs="SimHei"/>
          <w:sz w:val="52"/>
          <w:szCs w:val="52"/>
          <w:spacing w:val="-12"/>
        </w:rPr>
        <w:t>准</w:t>
      </w:r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ind w:left="6554"/>
        <w:spacing w:before="91" w:line="237" w:lineRule="auto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1"/>
        </w:rPr>
        <w:t>DBS33/</w:t>
      </w:r>
      <w:r>
        <w:rPr>
          <w:rFonts w:ascii="SimHei" w:hAnsi="SimHei" w:eastAsia="SimHei" w:cs="SimHei"/>
          <w:sz w:val="28"/>
          <w:szCs w:val="28"/>
          <w:spacing w:val="-1"/>
        </w:rPr>
        <w:t xml:space="preserve"> </w:t>
      </w:r>
      <w:r>
        <w:rPr>
          <w:rFonts w:ascii="SimHei" w:hAnsi="SimHei" w:eastAsia="SimHei" w:cs="SimHei"/>
          <w:sz w:val="28"/>
          <w:szCs w:val="28"/>
          <w:spacing w:val="-1"/>
        </w:rPr>
        <w:t>XXXX—2025</w:t>
      </w:r>
    </w:p>
    <w:p>
      <w:pPr>
        <w:ind w:firstLine="525"/>
        <w:spacing w:before="168" w:line="35" w:lineRule="exact"/>
        <w:rPr/>
      </w:pPr>
      <w:r>
        <w:rPr/>
        <w:drawing>
          <wp:inline distT="0" distB="0" distL="0" distR="0">
            <wp:extent cx="5706769" cy="22224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06769" cy="2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ind w:left="2643"/>
        <w:spacing w:before="169" w:line="221" w:lineRule="auto"/>
        <w:rPr>
          <w:rFonts w:ascii="SimHei" w:hAnsi="SimHei" w:eastAsia="SimHei" w:cs="SimHei"/>
          <w:sz w:val="52"/>
          <w:szCs w:val="52"/>
        </w:rPr>
      </w:pPr>
      <w:r>
        <w:rPr>
          <w:rFonts w:ascii="SimHei" w:hAnsi="SimHei" w:eastAsia="SimHei" w:cs="SimHei"/>
          <w:sz w:val="52"/>
          <w:szCs w:val="52"/>
          <w:spacing w:val="-7"/>
        </w:rPr>
        <w:t>食品安全地方标准</w:t>
      </w:r>
    </w:p>
    <w:p>
      <w:pPr>
        <w:ind w:left="3967"/>
        <w:spacing w:before="282" w:line="224" w:lineRule="auto"/>
        <w:rPr>
          <w:rFonts w:ascii="SimHei" w:hAnsi="SimHei" w:eastAsia="SimHei" w:cs="SimHei"/>
          <w:sz w:val="52"/>
          <w:szCs w:val="52"/>
        </w:rPr>
      </w:pPr>
      <w:r>
        <w:rPr>
          <w:rFonts w:ascii="SimHei" w:hAnsi="SimHei" w:eastAsia="SimHei" w:cs="SimHei"/>
          <w:sz w:val="52"/>
          <w:szCs w:val="52"/>
          <w:spacing w:val="-22"/>
        </w:rPr>
        <w:t>山茱萸</w:t>
      </w:r>
    </w:p>
    <w:p>
      <w:pPr>
        <w:ind w:left="3597"/>
        <w:spacing w:before="253" w:line="226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2"/>
        </w:rPr>
        <w:t>（征求意见稿）</w:t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ind w:left="344"/>
        <w:spacing w:before="91" w:line="226" w:lineRule="auto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1"/>
          <w:position w:val="2"/>
        </w:rPr>
        <w:t>20XX-XX-XX</w:t>
      </w:r>
      <w:r>
        <w:rPr>
          <w:rFonts w:ascii="SimHei" w:hAnsi="SimHei" w:eastAsia="SimHei" w:cs="SimHei"/>
          <w:sz w:val="28"/>
          <w:szCs w:val="28"/>
          <w:spacing w:val="-58"/>
          <w:position w:val="2"/>
        </w:rPr>
        <w:t xml:space="preserve"> </w:t>
      </w:r>
      <w:r>
        <w:rPr>
          <w:rFonts w:ascii="SimHei" w:hAnsi="SimHei" w:eastAsia="SimHei" w:cs="SimHei"/>
          <w:sz w:val="28"/>
          <w:szCs w:val="28"/>
          <w:spacing w:val="-1"/>
          <w:position w:val="2"/>
        </w:rPr>
        <w:t>发布</w:t>
      </w:r>
      <w:r>
        <w:rPr>
          <w:rFonts w:ascii="SimHei" w:hAnsi="SimHei" w:eastAsia="SimHei" w:cs="SimHei"/>
          <w:sz w:val="28"/>
          <w:szCs w:val="28"/>
          <w:spacing w:val="-1"/>
          <w:position w:val="2"/>
        </w:rPr>
        <w:t xml:space="preserve">                                 </w:t>
      </w:r>
      <w:r>
        <w:rPr>
          <w:rFonts w:ascii="SimHei" w:hAnsi="SimHei" w:eastAsia="SimHei" w:cs="SimHei"/>
          <w:sz w:val="28"/>
          <w:szCs w:val="28"/>
          <w:spacing w:val="-1"/>
          <w:position w:val="-2"/>
        </w:rPr>
        <w:t>20XX-XX</w:t>
      </w:r>
      <w:r>
        <w:rPr>
          <w:rFonts w:ascii="SimHei" w:hAnsi="SimHei" w:eastAsia="SimHei" w:cs="SimHei"/>
          <w:sz w:val="28"/>
          <w:szCs w:val="28"/>
          <w:spacing w:val="-2"/>
          <w:position w:val="-2"/>
        </w:rPr>
        <w:t>-XX</w:t>
      </w:r>
      <w:r>
        <w:rPr>
          <w:rFonts w:ascii="SimHei" w:hAnsi="SimHei" w:eastAsia="SimHei" w:cs="SimHei"/>
          <w:sz w:val="28"/>
          <w:szCs w:val="28"/>
          <w:spacing w:val="-53"/>
          <w:position w:val="-2"/>
        </w:rPr>
        <w:t xml:space="preserve"> </w:t>
      </w:r>
      <w:r>
        <w:rPr>
          <w:rFonts w:ascii="SimHei" w:hAnsi="SimHei" w:eastAsia="SimHei" w:cs="SimHei"/>
          <w:sz w:val="28"/>
          <w:szCs w:val="28"/>
          <w:spacing w:val="-2"/>
          <w:position w:val="-2"/>
        </w:rPr>
        <w:t>实施</w:t>
      </w:r>
    </w:p>
    <w:p>
      <w:pPr>
        <w:pStyle w:val="BodyText"/>
        <w:spacing w:line="333" w:lineRule="auto"/>
        <w:rPr/>
      </w:pPr>
      <w:r/>
    </w:p>
    <w:p>
      <w:pPr>
        <w:spacing w:before="1" w:line="667" w:lineRule="exact"/>
        <w:rPr/>
      </w:pPr>
      <w:r>
        <w:rPr>
          <w:position w:val="-13"/>
        </w:rPr>
        <w:pict>
          <v:group id="_x0000_s2" style="mso-position-vertical-relative:line;mso-position-horizontal-relative:char;width:481.95pt;height:33.35pt;" filled="false" stroked="false" coordsize="9639,666" coordorigin="0,0">
            <v:rect id="_x0000_s4" style="position:absolute;left:0;top:25;width:9639;height:640;" fillcolor="#FFFFFF" filled="true" stroked="false"/>
            <v:shape id="_x0000_s6" style="position:absolute;left:381;top:-20;width:9027;height:56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20"/>
                      <w:spacing w:before="20" w:line="35" w:lineRule="exact"/>
                      <w:rPr/>
                    </w:pPr>
                    <w:r>
                      <w:rPr/>
                      <w:drawing>
                        <wp:inline distT="0" distB="0" distL="0" distR="0">
                          <wp:extent cx="5706769" cy="22225"/>
                          <wp:effectExtent l="0" t="0" r="0" b="0"/>
                          <wp:docPr id="24" name="IM 24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4" name="IM 24"/>
                                  <pic:cNvPicPr/>
                                </pic:nvPicPr>
                                <pic:blipFill>
                                  <a:blip r:embed="rId5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5706769" cy="222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ind w:left="1899"/>
                      <w:spacing w:before="122" w:line="226" w:lineRule="auto"/>
                      <w:rPr>
                        <w:rFonts w:ascii="SimHei" w:hAnsi="SimHei" w:eastAsia="SimHei" w:cs="SimHei"/>
                        <w:sz w:val="28"/>
                        <w:szCs w:val="28"/>
                      </w:rPr>
                    </w:pPr>
                    <w:r>
                      <w:rPr>
                        <w:rFonts w:ascii="SimHei" w:hAnsi="SimHei" w:eastAsia="SimHei" w:cs="SimHei"/>
                        <w:sz w:val="35"/>
                        <w:szCs w:val="35"/>
                        <w:spacing w:val="54"/>
                        <w:w w:val="126"/>
                      </w:rPr>
                      <w:t>浙江省卫生健康委员会</w:t>
                    </w:r>
                    <w:r>
                      <w:rPr>
                        <w:rFonts w:ascii="SimHei" w:hAnsi="SimHei" w:eastAsia="SimHei" w:cs="SimHei"/>
                        <w:sz w:val="35"/>
                        <w:szCs w:val="35"/>
                        <w:spacing w:val="168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8"/>
                        <w:szCs w:val="28"/>
                        <w:spacing w:val="54"/>
                        <w:w w:val="126"/>
                        <w:position w:val="2"/>
                      </w:rPr>
                      <w:t>发布</w:t>
                    </w:r>
                  </w:p>
                </w:txbxContent>
              </v:textbox>
            </v:shape>
          </v:group>
        </w:pict>
      </w:r>
    </w:p>
    <w:p>
      <w:pPr>
        <w:spacing w:line="667" w:lineRule="exact"/>
        <w:sectPr>
          <w:footerReference w:type="default" r:id="rId2"/>
          <w:pgSz w:w="11905" w:h="16839"/>
          <w:pgMar w:top="400" w:right="951" w:bottom="400" w:left="1204" w:header="0" w:footer="0" w:gutter="0"/>
        </w:sectPr>
        <w:rPr/>
      </w:pPr>
    </w:p>
    <w:p>
      <w:pPr>
        <w:pStyle w:val="BodyText"/>
        <w:rPr/>
      </w:pPr>
      <w:r/>
    </w:p>
    <w:p>
      <w:pPr>
        <w:sectPr>
          <w:pgSz w:w="11905" w:h="16839"/>
          <w:pgMar w:top="0" w:right="0" w:bottom="0" w:left="0" w:header="0" w:footer="0" w:gutter="0"/>
        </w:sectPr>
        <w:rPr/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spacing w:before="57" w:line="199" w:lineRule="auto"/>
        <w:jc w:val="righ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DBS</w:t>
      </w:r>
      <w:r>
        <w:rPr>
          <w:rFonts w:ascii="Times New Roman" w:hAnsi="Times New Roman" w:eastAsia="Times New Roman" w:cs="Times New Roman"/>
          <w:sz w:val="20"/>
          <w:szCs w:val="20"/>
          <w:spacing w:val="8"/>
        </w:rPr>
        <w:t>33/</w:t>
      </w:r>
      <w:r>
        <w:rPr>
          <w:rFonts w:ascii="Times New Roman" w:hAnsi="Times New Roman" w:eastAsia="Times New Roman" w:cs="Times New Roman"/>
          <w:sz w:val="20"/>
          <w:szCs w:val="20"/>
        </w:rPr>
        <w:t>XXXX</w:t>
      </w:r>
      <w:r>
        <w:rPr>
          <w:rFonts w:ascii="Times New Roman" w:hAnsi="Times New Roman" w:eastAsia="Times New Roman" w:cs="Times New Roman"/>
          <w:sz w:val="20"/>
          <w:szCs w:val="20"/>
          <w:spacing w:val="8"/>
        </w:rPr>
        <w:t>-2025</w:t>
      </w:r>
    </w:p>
    <w:p>
      <w:pPr>
        <w:ind w:left="4027"/>
        <w:spacing w:before="152" w:line="228" w:lineRule="auto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-2"/>
        </w:rPr>
        <w:t>前</w:t>
      </w:r>
      <w:r>
        <w:rPr>
          <w:rFonts w:ascii="SimHei" w:hAnsi="SimHei" w:eastAsia="SimHei" w:cs="SimHei"/>
          <w:sz w:val="31"/>
          <w:szCs w:val="31"/>
          <w:spacing w:val="18"/>
        </w:rPr>
        <w:t xml:space="preserve">  </w:t>
      </w:r>
      <w:r>
        <w:rPr>
          <w:rFonts w:ascii="SimHei" w:hAnsi="SimHei" w:eastAsia="SimHei" w:cs="SimHei"/>
          <w:sz w:val="31"/>
          <w:szCs w:val="31"/>
          <w:spacing w:val="-2"/>
        </w:rPr>
        <w:t>言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448"/>
        <w:spacing w:before="72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"/>
        </w:rPr>
        <w:t>本标准为首次发布。</w:t>
      </w:r>
    </w:p>
    <w:p>
      <w:pPr>
        <w:spacing w:line="219" w:lineRule="auto"/>
        <w:sectPr>
          <w:pgSz w:w="11907" w:h="16840"/>
          <w:pgMar w:top="400" w:right="1127" w:bottom="400" w:left="1786" w:header="0" w:footer="0" w:gutter="0"/>
        </w:sectPr>
        <w:rPr>
          <w:rFonts w:ascii="SimSun" w:hAnsi="SimSun" w:eastAsia="SimSun" w:cs="SimSun"/>
          <w:sz w:val="22"/>
          <w:szCs w:val="22"/>
        </w:rPr>
      </w:pPr>
    </w:p>
    <w:p>
      <w:pPr>
        <w:pStyle w:val="BodyText"/>
        <w:rPr/>
      </w:pPr>
      <w:r>
        <w:pict>
          <v:shape id="_x0000_s8" style="position:absolute;margin-left:89.25pt;margin-top:83.7pt;mso-position-vertical-relative:page;mso-position-horizontal-relative:page;width:449.75pt;height:0.75pt;z-index:251758592;" o:allowincell="f" fillcolor="#000000" filled="true" stroked="false" coordsize="8995,15" coordorigin="0,0" path="m,l8994,0l8994,14l0,14l0,0xe"/>
        </w:pict>
      </w:r>
      <w:r/>
    </w:p>
    <w:p>
      <w:pPr>
        <w:sectPr>
          <w:pgSz w:w="11907" w:h="16840"/>
          <w:pgMar w:top="400" w:right="1127" w:bottom="400" w:left="1785" w:header="0" w:footer="0" w:gutter="0"/>
        </w:sectPr>
        <w:rPr/>
      </w:pPr>
    </w:p>
    <w:p>
      <w:pPr>
        <w:pStyle w:val="BodyText"/>
        <w:spacing w:line="261" w:lineRule="auto"/>
        <w:rPr/>
      </w:pPr>
      <w:r>
        <w:pict>
          <v:shape id="_x0000_s10" style="position:absolute;margin-left:89.25pt;margin-top:85.45pt;mso-position-vertical-relative:page;mso-position-horizontal-relative:page;width:449.75pt;height:0.75pt;z-index:251760640;" o:allowincell="f" fillcolor="#000000" filled="true" stroked="false" coordsize="8995,15" coordorigin="0,0" path="m,l8994,0l8994,14l0,14l0,0xe"/>
        </w:pict>
      </w: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3364"/>
        <w:spacing w:before="100" w:line="226" w:lineRule="auto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8"/>
        </w:rPr>
        <w:t>食品安全地方标准</w:t>
      </w:r>
    </w:p>
    <w:p>
      <w:pPr>
        <w:ind w:left="4183"/>
        <w:spacing w:before="155" w:line="229" w:lineRule="auto"/>
        <w:outlineLvl w:val="1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-1"/>
        </w:rPr>
        <w:t>山茱萸</w:t>
      </w:r>
    </w:p>
    <w:p>
      <w:pPr>
        <w:pStyle w:val="BodyText"/>
        <w:spacing w:line="272" w:lineRule="auto"/>
        <w:rPr/>
      </w:pPr>
      <w:r/>
    </w:p>
    <w:p>
      <w:pPr>
        <w:ind w:left="155"/>
        <w:spacing w:before="65" w:line="231" w:lineRule="auto"/>
        <w:outlineLvl w:val="1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-3"/>
        </w:rPr>
        <w:t>1</w:t>
      </w:r>
      <w:r>
        <w:rPr>
          <w:rFonts w:ascii="SimHei" w:hAnsi="SimHei" w:eastAsia="SimHei" w:cs="SimHei"/>
          <w:sz w:val="20"/>
          <w:szCs w:val="20"/>
          <w:spacing w:val="10"/>
        </w:rPr>
        <w:t xml:space="preserve">  </w:t>
      </w:r>
      <w:r>
        <w:rPr>
          <w:rFonts w:ascii="SimHei" w:hAnsi="SimHei" w:eastAsia="SimHei" w:cs="SimHei"/>
          <w:sz w:val="20"/>
          <w:szCs w:val="20"/>
          <w:spacing w:val="-3"/>
        </w:rPr>
        <w:t>范围</w:t>
      </w:r>
    </w:p>
    <w:p>
      <w:pPr>
        <w:ind w:left="567"/>
        <w:spacing w:before="248" w:line="227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6"/>
        </w:rPr>
        <w:t>本标准适用于人工栽培的山茱萸。</w:t>
      </w:r>
    </w:p>
    <w:p>
      <w:pPr>
        <w:pStyle w:val="BodyText"/>
        <w:spacing w:line="463" w:lineRule="auto"/>
        <w:rPr/>
      </w:pPr>
      <w:r/>
    </w:p>
    <w:p>
      <w:pPr>
        <w:ind w:left="142"/>
        <w:spacing w:before="65" w:line="231" w:lineRule="auto"/>
        <w:outlineLvl w:val="1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7"/>
        </w:rPr>
        <w:t>2</w:t>
      </w:r>
      <w:r>
        <w:rPr>
          <w:rFonts w:ascii="SimHei" w:hAnsi="SimHei" w:eastAsia="SimHei" w:cs="SimHei"/>
          <w:sz w:val="20"/>
          <w:szCs w:val="20"/>
          <w:spacing w:val="7"/>
        </w:rPr>
        <w:t xml:space="preserve">  </w:t>
      </w:r>
      <w:r>
        <w:rPr>
          <w:rFonts w:ascii="SimHei" w:hAnsi="SimHei" w:eastAsia="SimHei" w:cs="SimHei"/>
          <w:sz w:val="20"/>
          <w:szCs w:val="20"/>
          <w:spacing w:val="7"/>
        </w:rPr>
        <w:t>术语和定义</w:t>
      </w:r>
    </w:p>
    <w:p>
      <w:pPr>
        <w:ind w:left="573"/>
        <w:spacing w:before="249" w:line="227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6"/>
        </w:rPr>
        <w:t>下列术语和定义适用于本标准。</w:t>
      </w:r>
    </w:p>
    <w:p>
      <w:pPr>
        <w:pStyle w:val="BodyText"/>
        <w:spacing w:line="461" w:lineRule="auto"/>
        <w:rPr/>
      </w:pPr>
      <w:r/>
    </w:p>
    <w:p>
      <w:pPr>
        <w:ind w:left="142"/>
        <w:spacing w:before="66" w:line="232" w:lineRule="auto"/>
        <w:outlineLvl w:val="1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2"/>
        </w:rPr>
        <w:t>2.1</w:t>
      </w:r>
      <w:r>
        <w:rPr>
          <w:rFonts w:ascii="SimHei" w:hAnsi="SimHei" w:eastAsia="SimHei" w:cs="SimHei"/>
          <w:sz w:val="20"/>
          <w:szCs w:val="20"/>
          <w:spacing w:val="29"/>
        </w:rPr>
        <w:t xml:space="preserve"> </w:t>
      </w:r>
      <w:r>
        <w:rPr>
          <w:rFonts w:ascii="SimHei" w:hAnsi="SimHei" w:eastAsia="SimHei" w:cs="SimHei"/>
          <w:sz w:val="20"/>
          <w:szCs w:val="20"/>
          <w:spacing w:val="2"/>
        </w:rPr>
        <w:t>山茱萸</w:t>
      </w:r>
    </w:p>
    <w:p>
      <w:pPr>
        <w:ind w:left="143" w:right="81" w:firstLine="439"/>
        <w:spacing w:before="245" w:line="257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6"/>
        </w:rPr>
        <w:t>以山茱萸科植物山茱萸 </w:t>
      </w:r>
      <w:r>
        <w:rPr>
          <w:rFonts w:ascii="Times New Roman" w:hAnsi="Times New Roman" w:eastAsia="Times New Roman" w:cs="Times New Roman"/>
          <w:sz w:val="20"/>
          <w:szCs w:val="20"/>
          <w:i/>
          <w:iCs/>
        </w:rPr>
        <w:t>Cornus</w:t>
      </w:r>
      <w:r>
        <w:rPr>
          <w:rFonts w:ascii="Times New Roman" w:hAnsi="Times New Roman" w:eastAsia="Times New Roman" w:cs="Times New Roman"/>
          <w:sz w:val="20"/>
          <w:szCs w:val="20"/>
          <w:i/>
          <w:iCs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i/>
          <w:iCs/>
        </w:rPr>
        <w:t>o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i/>
          <w:iCs/>
        </w:rPr>
        <w:t>f</w:t>
      </w:r>
      <w:r>
        <w:rPr>
          <w:rFonts w:ascii="Times New Roman" w:hAnsi="Times New Roman" w:eastAsia="Times New Roman" w:cs="Times New Roman"/>
          <w:sz w:val="20"/>
          <w:szCs w:val="20"/>
          <w:i/>
          <w:iCs/>
        </w:rPr>
        <w:t>icinalis</w:t>
      </w:r>
      <w:r>
        <w:rPr>
          <w:rFonts w:ascii="Times New Roman" w:hAnsi="Times New Roman" w:eastAsia="Times New Roman" w:cs="Times New Roman"/>
          <w:sz w:val="20"/>
          <w:szCs w:val="20"/>
          <w:i/>
          <w:iCs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Sieb</w:t>
      </w:r>
      <w:r>
        <w:rPr>
          <w:rFonts w:ascii="Times New Roman" w:hAnsi="Times New Roman" w:eastAsia="Times New Roman" w:cs="Times New Roman"/>
          <w:sz w:val="20"/>
          <w:szCs w:val="20"/>
          <w:spacing w:val="6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>et</w:t>
      </w:r>
      <w:r>
        <w:rPr>
          <w:rFonts w:ascii="Times New Roman" w:hAnsi="Times New Roman" w:eastAsia="Times New Roman" w:cs="Times New Roman"/>
          <w:sz w:val="20"/>
          <w:szCs w:val="20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Zucc</w:t>
      </w:r>
      <w:r>
        <w:rPr>
          <w:rFonts w:ascii="Times New Roman" w:hAnsi="Times New Roman" w:eastAsia="Times New Roman" w:cs="Times New Roman"/>
          <w:sz w:val="20"/>
          <w:szCs w:val="20"/>
          <w:spacing w:val="6"/>
        </w:rPr>
        <w:t>.</w:t>
      </w:r>
      <w:r>
        <w:rPr>
          <w:rFonts w:ascii="Times New Roman" w:hAnsi="Times New Roman" w:eastAsia="Times New Roman" w:cs="Times New Roman"/>
          <w:sz w:val="20"/>
          <w:szCs w:val="20"/>
          <w:spacing w:val="-27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6"/>
        </w:rPr>
        <w:t>的成熟果肉鲜品</w:t>
      </w:r>
      <w:r>
        <w:rPr>
          <w:rFonts w:ascii="SimSun" w:hAnsi="SimSun" w:eastAsia="SimSun" w:cs="SimSun"/>
          <w:sz w:val="20"/>
          <w:szCs w:val="20"/>
          <w:spacing w:val="5"/>
        </w:rPr>
        <w:t>为原料，通过去杂、淘洗、</w:t>
      </w:r>
      <w:r>
        <w:rPr>
          <w:rFonts w:ascii="SimSun" w:hAnsi="SimSun" w:eastAsia="SimSun" w:cs="SimSun"/>
          <w:sz w:val="20"/>
          <w:szCs w:val="2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7"/>
        </w:rPr>
        <w:t>干燥或不干燥等工序制成，供直接食用或作食品加工原料。</w:t>
      </w:r>
    </w:p>
    <w:p>
      <w:pPr>
        <w:pStyle w:val="BodyText"/>
        <w:spacing w:line="333" w:lineRule="auto"/>
        <w:rPr/>
      </w:pPr>
      <w:r/>
    </w:p>
    <w:p>
      <w:pPr>
        <w:ind w:left="144"/>
        <w:spacing w:before="66" w:line="231" w:lineRule="auto"/>
        <w:outlineLvl w:val="1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5"/>
        </w:rPr>
        <w:t>3</w:t>
      </w:r>
      <w:r>
        <w:rPr>
          <w:rFonts w:ascii="SimHei" w:hAnsi="SimHei" w:eastAsia="SimHei" w:cs="SimHei"/>
          <w:sz w:val="20"/>
          <w:szCs w:val="20"/>
          <w:spacing w:val="9"/>
        </w:rPr>
        <w:t xml:space="preserve">  </w:t>
      </w:r>
      <w:r>
        <w:rPr>
          <w:rFonts w:ascii="SimHei" w:hAnsi="SimHei" w:eastAsia="SimHei" w:cs="SimHei"/>
          <w:sz w:val="20"/>
          <w:szCs w:val="20"/>
          <w:spacing w:val="5"/>
        </w:rPr>
        <w:t>技术要求</w:t>
      </w:r>
    </w:p>
    <w:p>
      <w:pPr>
        <w:ind w:left="144"/>
        <w:spacing w:before="277" w:line="231" w:lineRule="auto"/>
        <w:outlineLvl w:val="1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6"/>
        </w:rPr>
        <w:t>3.1</w:t>
      </w:r>
      <w:r>
        <w:rPr>
          <w:rFonts w:ascii="SimHei" w:hAnsi="SimHei" w:eastAsia="SimHei" w:cs="SimHei"/>
          <w:sz w:val="20"/>
          <w:szCs w:val="20"/>
          <w:spacing w:val="6"/>
        </w:rPr>
        <w:t xml:space="preserve"> </w:t>
      </w:r>
      <w:r>
        <w:rPr>
          <w:rFonts w:ascii="SimHei" w:hAnsi="SimHei" w:eastAsia="SimHei" w:cs="SimHei"/>
          <w:sz w:val="20"/>
          <w:szCs w:val="20"/>
          <w:spacing w:val="6"/>
        </w:rPr>
        <w:t>原料要求</w:t>
      </w:r>
    </w:p>
    <w:p>
      <w:pPr>
        <w:ind w:left="145" w:right="83" w:hanging="1"/>
        <w:spacing w:before="142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5"/>
        </w:rPr>
        <w:t>3.1.1</w:t>
      </w:r>
      <w:r>
        <w:rPr>
          <w:rFonts w:ascii="SimHei" w:hAnsi="SimHei" w:eastAsia="SimHei" w:cs="SimHei"/>
          <w:sz w:val="20"/>
          <w:szCs w:val="20"/>
          <w:spacing w:val="32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5"/>
        </w:rPr>
        <w:t>山茱萸鲜品应具有其特有的形态特征及固有的色、香、味，新鲜、无腐</w:t>
      </w:r>
      <w:r>
        <w:rPr>
          <w:rFonts w:ascii="SimSun" w:hAnsi="SimSun" w:eastAsia="SimSun" w:cs="SimSun"/>
          <w:sz w:val="20"/>
          <w:szCs w:val="20"/>
          <w:spacing w:val="4"/>
        </w:rPr>
        <w:t>烂、无霉变、无虫蛀、</w:t>
      </w:r>
      <w:r>
        <w:rPr>
          <w:rFonts w:ascii="SimSun" w:hAnsi="SimSun" w:eastAsia="SimSun" w:cs="SimSun"/>
          <w:sz w:val="20"/>
          <w:szCs w:val="2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8"/>
        </w:rPr>
        <w:t>无异味，符合相应的食品标准和有关规定。</w:t>
      </w:r>
    </w:p>
    <w:p>
      <w:pPr>
        <w:ind w:left="144"/>
        <w:spacing w:before="24" w:line="231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5"/>
        </w:rPr>
        <w:t>3.1.2</w:t>
      </w:r>
      <w:r>
        <w:rPr>
          <w:rFonts w:ascii="SimHei" w:hAnsi="SimHei" w:eastAsia="SimHei" w:cs="SimHei"/>
          <w:sz w:val="20"/>
          <w:szCs w:val="20"/>
          <w:spacing w:val="5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5"/>
        </w:rPr>
        <w:t>生产加工用水应符合</w:t>
      </w:r>
      <w:r>
        <w:rPr>
          <w:rFonts w:ascii="SimSun" w:hAnsi="SimSun" w:eastAsia="SimSun" w:cs="SimSun"/>
          <w:sz w:val="20"/>
          <w:szCs w:val="20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GB</w:t>
      </w:r>
      <w:r>
        <w:rPr>
          <w:rFonts w:ascii="Times New Roman" w:hAnsi="Times New Roman" w:eastAsia="Times New Roman" w:cs="Times New Roman"/>
          <w:sz w:val="20"/>
          <w:szCs w:val="20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5"/>
        </w:rPr>
        <w:t>5749</w:t>
      </w:r>
      <w:r>
        <w:rPr>
          <w:rFonts w:ascii="Times New Roman" w:hAnsi="Times New Roman" w:eastAsia="Times New Roman" w:cs="Times New Roman"/>
          <w:sz w:val="20"/>
          <w:szCs w:val="20"/>
          <w:spacing w:val="29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5"/>
        </w:rPr>
        <w:t>的规定。</w:t>
      </w:r>
    </w:p>
    <w:p>
      <w:pPr>
        <w:ind w:left="144"/>
        <w:spacing w:before="143" w:line="231" w:lineRule="auto"/>
        <w:outlineLvl w:val="1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6"/>
        </w:rPr>
        <w:t>3.2</w:t>
      </w:r>
      <w:r>
        <w:rPr>
          <w:rFonts w:ascii="SimHei" w:hAnsi="SimHei" w:eastAsia="SimHei" w:cs="SimHei"/>
          <w:sz w:val="20"/>
          <w:szCs w:val="20"/>
          <w:spacing w:val="6"/>
        </w:rPr>
        <w:t xml:space="preserve"> </w:t>
      </w:r>
      <w:r>
        <w:rPr>
          <w:rFonts w:ascii="SimHei" w:hAnsi="SimHei" w:eastAsia="SimHei" w:cs="SimHei"/>
          <w:sz w:val="20"/>
          <w:szCs w:val="20"/>
          <w:spacing w:val="6"/>
        </w:rPr>
        <w:t>感官要求</w:t>
      </w:r>
    </w:p>
    <w:p>
      <w:pPr>
        <w:pStyle w:val="BodyText"/>
        <w:spacing w:line="311" w:lineRule="auto"/>
        <w:rPr/>
      </w:pPr>
      <w:r/>
    </w:p>
    <w:p>
      <w:pPr>
        <w:ind w:left="560"/>
        <w:spacing w:before="66" w:line="22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2"/>
        </w:rPr>
        <w:t>感官要求应符合表</w:t>
      </w:r>
      <w:r>
        <w:rPr>
          <w:rFonts w:ascii="SimSun" w:hAnsi="SimSun" w:eastAsia="SimSun" w:cs="SimSun"/>
          <w:sz w:val="20"/>
          <w:szCs w:val="20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2"/>
        </w:rPr>
        <w:t>1</w:t>
      </w:r>
      <w:r>
        <w:rPr>
          <w:rFonts w:ascii="Times New Roman" w:hAnsi="Times New Roman" w:eastAsia="Times New Roman" w:cs="Times New Roman"/>
          <w:sz w:val="20"/>
          <w:szCs w:val="20"/>
          <w:spacing w:val="27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2"/>
        </w:rPr>
        <w:t>的规定。</w:t>
      </w:r>
    </w:p>
    <w:p>
      <w:pPr>
        <w:ind w:left="4158"/>
        <w:spacing w:before="233" w:line="231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</w:rPr>
        <w:t>表</w:t>
      </w:r>
      <w:r>
        <w:rPr>
          <w:rFonts w:ascii="SimHei" w:hAnsi="SimHei" w:eastAsia="SimHei" w:cs="SimHei"/>
          <w:sz w:val="20"/>
          <w:szCs w:val="20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z w:val="20"/>
          <w:szCs w:val="20"/>
          <w:spacing w:val="3"/>
        </w:rPr>
        <w:t xml:space="preserve">    </w:t>
      </w:r>
      <w:r>
        <w:rPr>
          <w:rFonts w:ascii="SimHei" w:hAnsi="SimHei" w:eastAsia="SimHei" w:cs="SimHei"/>
          <w:sz w:val="20"/>
          <w:szCs w:val="20"/>
        </w:rPr>
        <w:t>感官要求</w:t>
      </w:r>
    </w:p>
    <w:p>
      <w:pPr>
        <w:spacing w:line="231" w:lineRule="exact"/>
        <w:rPr/>
      </w:pPr>
      <w:r/>
    </w:p>
    <w:tbl>
      <w:tblPr>
        <w:tblStyle w:val="TableNormal"/>
        <w:tblW w:w="9226" w:type="dxa"/>
        <w:tblInd w:w="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79"/>
        <w:gridCol w:w="4955"/>
        <w:gridCol w:w="3092"/>
      </w:tblGrid>
      <w:tr>
        <w:trPr>
          <w:trHeight w:val="346" w:hRule="atLeast"/>
        </w:trPr>
        <w:tc>
          <w:tcPr>
            <w:tcW w:w="1179" w:type="dxa"/>
            <w:vAlign w:val="top"/>
            <w:tcBorders>
              <w:left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409"/>
              <w:spacing w:before="117" w:line="220" w:lineRule="auto"/>
              <w:rPr/>
            </w:pPr>
            <w:r>
              <w:rPr>
                <w:spacing w:val="-5"/>
              </w:rPr>
              <w:t>项目</w:t>
            </w:r>
          </w:p>
        </w:tc>
        <w:tc>
          <w:tcPr>
            <w:tcW w:w="4955" w:type="dxa"/>
            <w:vAlign w:val="top"/>
            <w:tcBorders>
              <w:top w:val="single" w:color="000000" w:sz="6" w:space="0"/>
            </w:tcBorders>
          </w:tcPr>
          <w:p>
            <w:pPr>
              <w:pStyle w:val="TableText"/>
              <w:ind w:left="2300"/>
              <w:spacing w:before="116" w:line="221" w:lineRule="auto"/>
              <w:rPr/>
            </w:pPr>
            <w:r>
              <w:rPr>
                <w:spacing w:val="-4"/>
              </w:rPr>
              <w:t>要求</w:t>
            </w:r>
          </w:p>
        </w:tc>
        <w:tc>
          <w:tcPr>
            <w:tcW w:w="3092" w:type="dxa"/>
            <w:vAlign w:val="top"/>
            <w:tcBorders>
              <w:right w:val="single" w:color="000000" w:sz="6" w:space="0"/>
              <w:top w:val="single" w:color="000000" w:sz="6" w:space="0"/>
            </w:tcBorders>
          </w:tcPr>
          <w:p>
            <w:pPr>
              <w:pStyle w:val="TableText"/>
              <w:ind w:left="1189"/>
              <w:spacing w:before="117" w:line="219" w:lineRule="auto"/>
              <w:rPr/>
            </w:pPr>
            <w:r>
              <w:rPr>
                <w:spacing w:val="-2"/>
              </w:rPr>
              <w:t>检验方法</w:t>
            </w:r>
          </w:p>
        </w:tc>
      </w:tr>
      <w:tr>
        <w:trPr>
          <w:trHeight w:val="341" w:hRule="atLeast"/>
        </w:trPr>
        <w:tc>
          <w:tcPr>
            <w:tcW w:w="1179" w:type="dxa"/>
            <w:vAlign w:val="top"/>
            <w:tcBorders>
              <w:left w:val="single" w:color="000000" w:sz="6" w:space="0"/>
            </w:tcBorders>
          </w:tcPr>
          <w:p>
            <w:pPr>
              <w:pStyle w:val="TableText"/>
              <w:ind w:left="408"/>
              <w:spacing w:before="116" w:line="220" w:lineRule="auto"/>
              <w:rPr/>
            </w:pPr>
            <w:r>
              <w:rPr>
                <w:spacing w:val="-5"/>
              </w:rPr>
              <w:t>色泽</w:t>
            </w:r>
          </w:p>
        </w:tc>
        <w:tc>
          <w:tcPr>
            <w:tcW w:w="4955" w:type="dxa"/>
            <w:vAlign w:val="top"/>
          </w:tcPr>
          <w:p>
            <w:pPr>
              <w:pStyle w:val="TableText"/>
              <w:ind w:left="105"/>
              <w:spacing w:before="85" w:line="219" w:lineRule="auto"/>
              <w:rPr/>
            </w:pPr>
            <w:r>
              <w:rPr>
                <w:spacing w:val="-1"/>
              </w:rPr>
              <w:t>表面紫红色至紫黑色，皱缩，有光泽</w:t>
            </w:r>
          </w:p>
        </w:tc>
        <w:tc>
          <w:tcPr>
            <w:tcW w:w="3092" w:type="dxa"/>
            <w:vAlign w:val="top"/>
            <w:vMerge w:val="restart"/>
            <w:tcBorders>
              <w:bottom w:val="nil"/>
              <w:right w:val="single" w:color="000000" w:sz="6" w:space="0"/>
            </w:tcBorders>
          </w:tcPr>
          <w:p>
            <w:pPr>
              <w:pStyle w:val="TableText"/>
              <w:ind w:left="115" w:right="101" w:firstLine="1"/>
              <w:spacing w:before="263"/>
              <w:jc w:val="both"/>
              <w:rPr/>
            </w:pPr>
            <w:r>
              <w:rPr>
                <w:spacing w:val="-2"/>
              </w:rPr>
              <w:t>取适量样品置于洁净白色瓷盘中，在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自然光线下采用鼻嗅、</w:t>
            </w:r>
            <w:r>
              <w:rPr>
                <w:spacing w:val="-42"/>
              </w:rPr>
              <w:t xml:space="preserve"> </w:t>
            </w:r>
            <w:r>
              <w:rPr>
                <w:spacing w:val="-4"/>
              </w:rPr>
              <w:t>目测、口尝的</w:t>
            </w:r>
            <w:r>
              <w:rPr/>
              <w:t xml:space="preserve"> </w:t>
            </w:r>
            <w:r>
              <w:rPr>
                <w:spacing w:val="-2"/>
              </w:rPr>
              <w:t>方法进行检验</w:t>
            </w:r>
          </w:p>
        </w:tc>
      </w:tr>
      <w:tr>
        <w:trPr>
          <w:trHeight w:val="342" w:hRule="atLeast"/>
        </w:trPr>
        <w:tc>
          <w:tcPr>
            <w:tcW w:w="1179" w:type="dxa"/>
            <w:vAlign w:val="top"/>
            <w:tcBorders>
              <w:left w:val="single" w:color="000000" w:sz="6" w:space="0"/>
            </w:tcBorders>
          </w:tcPr>
          <w:p>
            <w:pPr>
              <w:pStyle w:val="TableText"/>
              <w:ind w:left="136"/>
              <w:spacing w:before="121" w:line="216" w:lineRule="auto"/>
              <w:rPr/>
            </w:pPr>
            <w:r>
              <w:rPr>
                <w:spacing w:val="-2"/>
              </w:rPr>
              <w:t>气味、滋味</w:t>
            </w:r>
          </w:p>
        </w:tc>
        <w:tc>
          <w:tcPr>
            <w:tcW w:w="4955" w:type="dxa"/>
            <w:vAlign w:val="top"/>
          </w:tcPr>
          <w:p>
            <w:pPr>
              <w:pStyle w:val="TableText"/>
              <w:ind w:left="106"/>
              <w:spacing w:before="87" w:line="219" w:lineRule="auto"/>
              <w:rPr/>
            </w:pPr>
            <w:r>
              <w:rPr>
                <w:spacing w:val="-1"/>
              </w:rPr>
              <w:t>气微，味道酸中带涩伴有微苦味</w:t>
            </w:r>
          </w:p>
        </w:tc>
        <w:tc>
          <w:tcPr>
            <w:tcW w:w="3092" w:type="dxa"/>
            <w:vAlign w:val="top"/>
            <w:vMerge w:val="continue"/>
            <w:tcBorders>
              <w:bottom w:val="nil"/>
              <w:right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82" w:hRule="atLeast"/>
        </w:trPr>
        <w:tc>
          <w:tcPr>
            <w:tcW w:w="1179" w:type="dxa"/>
            <w:vAlign w:val="top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TableText"/>
              <w:ind w:left="406"/>
              <w:spacing w:before="187" w:line="219" w:lineRule="auto"/>
              <w:rPr/>
            </w:pPr>
            <w:r>
              <w:rPr>
                <w:spacing w:val="-4"/>
              </w:rPr>
              <w:t>状态</w:t>
            </w:r>
          </w:p>
        </w:tc>
        <w:tc>
          <w:tcPr>
            <w:tcW w:w="495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110" w:right="105" w:hanging="5"/>
              <w:spacing w:before="37" w:line="223" w:lineRule="auto"/>
              <w:rPr/>
            </w:pPr>
            <w:r>
              <w:rPr>
                <w:spacing w:val="-2"/>
              </w:rPr>
              <w:t>干品呈不规则的片状或囊状，长</w:t>
            </w:r>
            <w:r>
              <w:rPr>
                <w:spacing w:val="-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1-1.5cm</w:t>
            </w:r>
            <w:r>
              <w:rPr>
                <w:rFonts w:ascii="Times New Roman" w:hAnsi="Times New Roman" w:eastAsia="Times New Roman" w:cs="Times New Roman"/>
                <w:spacing w:val="-26"/>
              </w:rPr>
              <w:t xml:space="preserve"> </w:t>
            </w:r>
            <w:r>
              <w:rPr>
                <w:spacing w:val="-2"/>
              </w:rPr>
              <w:t>，宽</w:t>
            </w:r>
            <w:r>
              <w:rPr>
                <w:spacing w:val="-3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0. 5-1cm</w:t>
            </w:r>
            <w:r>
              <w:rPr>
                <w:rFonts w:ascii="Times New Roman" w:hAnsi="Times New Roman" w:eastAsia="Times New Roman" w:cs="Times New Roman"/>
                <w:spacing w:val="-22"/>
              </w:rPr>
              <w:t xml:space="preserve"> </w:t>
            </w:r>
            <w:r>
              <w:rPr>
                <w:spacing w:val="-3"/>
              </w:rPr>
              <w:t>，无正</w:t>
            </w:r>
            <w:r>
              <w:rPr/>
              <w:t xml:space="preserve"> </w:t>
            </w:r>
            <w:r>
              <w:rPr>
                <w:spacing w:val="-2"/>
              </w:rPr>
              <w:t>常视力可见的外来异物</w:t>
            </w:r>
          </w:p>
        </w:tc>
        <w:tc>
          <w:tcPr>
            <w:tcW w:w="3092" w:type="dxa"/>
            <w:vAlign w:val="top"/>
            <w:vMerge w:val="continue"/>
            <w:tcBorders>
              <w:bottom w:val="single" w:color="000000" w:sz="6" w:space="0"/>
              <w:right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144"/>
        <w:spacing w:before="155" w:line="231" w:lineRule="auto"/>
        <w:outlineLvl w:val="1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6"/>
        </w:rPr>
        <w:t>3.3</w:t>
      </w:r>
      <w:r>
        <w:rPr>
          <w:rFonts w:ascii="SimHei" w:hAnsi="SimHei" w:eastAsia="SimHei" w:cs="SimHei"/>
          <w:sz w:val="20"/>
          <w:szCs w:val="20"/>
          <w:spacing w:val="6"/>
        </w:rPr>
        <w:t xml:space="preserve"> </w:t>
      </w:r>
      <w:r>
        <w:rPr>
          <w:rFonts w:ascii="SimHei" w:hAnsi="SimHei" w:eastAsia="SimHei" w:cs="SimHei"/>
          <w:sz w:val="20"/>
          <w:szCs w:val="20"/>
          <w:spacing w:val="6"/>
        </w:rPr>
        <w:t>理化指标</w:t>
      </w:r>
    </w:p>
    <w:p>
      <w:pPr>
        <w:pStyle w:val="BodyText"/>
        <w:spacing w:line="310" w:lineRule="auto"/>
        <w:rPr/>
      </w:pPr>
      <w:r/>
    </w:p>
    <w:p>
      <w:pPr>
        <w:ind w:left="562"/>
        <w:spacing w:before="65" w:line="22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4"/>
        </w:rPr>
        <w:t>理化指标应符合表</w:t>
      </w:r>
      <w:r>
        <w:rPr>
          <w:rFonts w:ascii="SimSun" w:hAnsi="SimSun" w:eastAsia="SimSun" w:cs="SimSun"/>
          <w:sz w:val="20"/>
          <w:szCs w:val="20"/>
          <w:spacing w:val="-4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4"/>
        </w:rPr>
        <w:t>2</w:t>
      </w:r>
      <w:r>
        <w:rPr>
          <w:rFonts w:ascii="Times New Roman" w:hAnsi="Times New Roman" w:eastAsia="Times New Roman" w:cs="Times New Roman"/>
          <w:sz w:val="20"/>
          <w:szCs w:val="20"/>
          <w:spacing w:val="27"/>
          <w:w w:val="101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4"/>
        </w:rPr>
        <w:t>的规定。</w:t>
      </w:r>
    </w:p>
    <w:p>
      <w:pPr>
        <w:ind w:left="4158"/>
        <w:spacing w:before="233" w:line="219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3"/>
        </w:rPr>
        <w:t>表</w:t>
      </w:r>
      <w:r>
        <w:rPr>
          <w:rFonts w:ascii="SimHei" w:hAnsi="SimHei" w:eastAsia="SimHei" w:cs="SimHei"/>
          <w:sz w:val="20"/>
          <w:szCs w:val="20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3"/>
        </w:rPr>
        <w:t>2    </w:t>
      </w:r>
      <w:r>
        <w:rPr>
          <w:rFonts w:ascii="SimHei" w:hAnsi="SimHei" w:eastAsia="SimHei" w:cs="SimHei"/>
          <w:sz w:val="20"/>
          <w:szCs w:val="20"/>
          <w:spacing w:val="3"/>
        </w:rPr>
        <w:t>理化指标</w:t>
      </w:r>
    </w:p>
    <w:tbl>
      <w:tblPr>
        <w:tblStyle w:val="TableNormal"/>
        <w:tblW w:w="9253" w:type="dxa"/>
        <w:tblInd w:w="2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4253"/>
        <w:gridCol w:w="1189"/>
        <w:gridCol w:w="3811"/>
      </w:tblGrid>
      <w:tr>
        <w:trPr>
          <w:trHeight w:val="347" w:hRule="atLeast"/>
        </w:trPr>
        <w:tc>
          <w:tcPr>
            <w:tcW w:w="4253" w:type="dxa"/>
            <w:vAlign w:val="top"/>
          </w:tcPr>
          <w:p>
            <w:pPr>
              <w:pStyle w:val="TableText"/>
              <w:ind w:left="1908"/>
              <w:spacing w:before="116" w:line="220" w:lineRule="auto"/>
              <w:rPr/>
            </w:pPr>
            <w:r>
              <w:rPr>
                <w:spacing w:val="-5"/>
              </w:rPr>
              <w:t>项</w:t>
            </w:r>
            <w:r>
              <w:rPr>
                <w:spacing w:val="42"/>
              </w:rPr>
              <w:t xml:space="preserve"> </w:t>
            </w:r>
            <w:r>
              <w:rPr>
                <w:spacing w:val="-5"/>
              </w:rPr>
              <w:t>目</w:t>
            </w:r>
          </w:p>
        </w:tc>
        <w:tc>
          <w:tcPr>
            <w:tcW w:w="1189" w:type="dxa"/>
            <w:vAlign w:val="top"/>
          </w:tcPr>
          <w:p>
            <w:pPr>
              <w:pStyle w:val="TableText"/>
              <w:ind w:left="422"/>
              <w:spacing w:before="116" w:line="220" w:lineRule="auto"/>
              <w:rPr/>
            </w:pPr>
            <w:r>
              <w:rPr>
                <w:spacing w:val="-5"/>
              </w:rPr>
              <w:t>指标</w:t>
            </w:r>
          </w:p>
        </w:tc>
        <w:tc>
          <w:tcPr>
            <w:tcW w:w="3811" w:type="dxa"/>
            <w:vAlign w:val="top"/>
          </w:tcPr>
          <w:p>
            <w:pPr>
              <w:pStyle w:val="TableText"/>
              <w:ind w:left="1549"/>
              <w:spacing w:before="117" w:line="219" w:lineRule="auto"/>
              <w:rPr/>
            </w:pPr>
            <w:r>
              <w:rPr>
                <w:spacing w:val="-2"/>
              </w:rPr>
              <w:t>检验方法</w:t>
            </w:r>
          </w:p>
        </w:tc>
      </w:tr>
      <w:tr>
        <w:trPr>
          <w:trHeight w:val="345" w:hRule="atLeast"/>
        </w:trPr>
        <w:tc>
          <w:tcPr>
            <w:tcW w:w="4253" w:type="dxa"/>
            <w:vAlign w:val="top"/>
          </w:tcPr>
          <w:p>
            <w:pPr>
              <w:pStyle w:val="TableText"/>
              <w:ind w:left="117"/>
              <w:spacing w:before="114" w:line="21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pacing w:val="-1"/>
              </w:rPr>
              <w:t>水分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/</w:t>
            </w:r>
            <w:r>
              <w:rPr>
                <w:spacing w:val="-1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g/100g</w:t>
            </w:r>
            <w:r>
              <w:rPr>
                <w:spacing w:val="-1"/>
              </w:rPr>
              <w:t>）</w:t>
            </w:r>
            <w:r>
              <w:rPr>
                <w:spacing w:val="2"/>
              </w:rPr>
              <w:t xml:space="preserve">                            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≤</w:t>
            </w:r>
          </w:p>
        </w:tc>
        <w:tc>
          <w:tcPr>
            <w:tcW w:w="1189" w:type="dxa"/>
            <w:vAlign w:val="top"/>
          </w:tcPr>
          <w:p>
            <w:pPr>
              <w:ind w:left="455"/>
              <w:spacing w:before="11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6"/>
              </w:rPr>
              <w:t>16.0</w:t>
            </w:r>
          </w:p>
        </w:tc>
        <w:tc>
          <w:tcPr>
            <w:tcW w:w="3811" w:type="dxa"/>
            <w:vAlign w:val="top"/>
          </w:tcPr>
          <w:p>
            <w:pPr>
              <w:ind w:left="1695"/>
              <w:spacing w:before="11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GB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1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5009.3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59"/>
          <w:footerReference w:type="default" r:id="rId60"/>
          <w:pgSz w:w="11907" w:h="16840"/>
          <w:pgMar w:top="1733" w:right="976" w:bottom="1471" w:left="1649" w:header="1412" w:footer="1239" w:gutter="0"/>
        </w:sectPr>
        <w:rPr/>
      </w:pPr>
    </w:p>
    <w:tbl>
      <w:tblPr>
        <w:tblStyle w:val="TableNormal"/>
        <w:tblW w:w="9253" w:type="dxa"/>
        <w:tblInd w:w="68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4253"/>
        <w:gridCol w:w="1189"/>
        <w:gridCol w:w="3811"/>
      </w:tblGrid>
      <w:tr>
        <w:trPr>
          <w:trHeight w:val="362" w:hRule="atLeast"/>
        </w:trPr>
        <w:tc>
          <w:tcPr>
            <w:tcW w:w="4253" w:type="dxa"/>
            <w:vAlign w:val="top"/>
          </w:tcPr>
          <w:p>
            <w:pPr>
              <w:pStyle w:val="TableText"/>
              <w:ind w:left="120"/>
              <w:spacing w:before="131" w:line="219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pacing w:val="4"/>
              </w:rPr>
              <w:t>马钱苷和莫诺苷总含量%</w:t>
            </w:r>
            <w:r>
              <w:rPr/>
              <w:t xml:space="preserve">                     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≥</w:t>
            </w:r>
          </w:p>
        </w:tc>
        <w:tc>
          <w:tcPr>
            <w:tcW w:w="1189" w:type="dxa"/>
            <w:vAlign w:val="top"/>
          </w:tcPr>
          <w:p>
            <w:pPr>
              <w:ind w:left="501"/>
              <w:spacing w:before="13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1.2</w:t>
            </w:r>
          </w:p>
        </w:tc>
        <w:tc>
          <w:tcPr>
            <w:tcW w:w="3811" w:type="dxa"/>
            <w:vAlign w:val="top"/>
          </w:tcPr>
          <w:p>
            <w:pPr>
              <w:pStyle w:val="TableText"/>
              <w:ind w:left="566"/>
              <w:spacing w:before="100" w:line="219" w:lineRule="auto"/>
              <w:rPr/>
            </w:pPr>
            <w:r>
              <w:rPr>
                <w:spacing w:val="-1"/>
              </w:rPr>
              <w:t>《中华人民共和国药典》（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2020</w:t>
            </w:r>
            <w:r>
              <w:rPr>
                <w:spacing w:val="-1"/>
              </w:rPr>
              <w:t>年版）</w:t>
            </w:r>
          </w:p>
        </w:tc>
      </w:tr>
      <w:tr>
        <w:trPr>
          <w:trHeight w:val="347" w:hRule="atLeast"/>
        </w:trPr>
        <w:tc>
          <w:tcPr>
            <w:tcW w:w="4253" w:type="dxa"/>
            <w:vAlign w:val="top"/>
          </w:tcPr>
          <w:p>
            <w:pPr>
              <w:pStyle w:val="TableText"/>
              <w:ind w:left="115"/>
              <w:spacing w:before="115" w:line="219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pacing w:val="8"/>
              </w:rPr>
              <w:t>浸出物含量%</w:t>
            </w:r>
            <w:r>
              <w:rPr/>
              <w:t xml:space="preserve">                               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≥</w:t>
            </w:r>
          </w:p>
        </w:tc>
        <w:tc>
          <w:tcPr>
            <w:tcW w:w="1189" w:type="dxa"/>
            <w:vAlign w:val="top"/>
          </w:tcPr>
          <w:p>
            <w:pPr>
              <w:ind w:left="443"/>
              <w:spacing w:before="11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3"/>
              </w:rPr>
              <w:t>50.0</w:t>
            </w:r>
          </w:p>
        </w:tc>
        <w:tc>
          <w:tcPr>
            <w:tcW w:w="3811" w:type="dxa"/>
            <w:vAlign w:val="top"/>
          </w:tcPr>
          <w:p>
            <w:pPr>
              <w:pStyle w:val="TableText"/>
              <w:ind w:left="566"/>
              <w:spacing w:before="84" w:line="219" w:lineRule="auto"/>
              <w:rPr/>
            </w:pPr>
            <w:r>
              <w:rPr>
                <w:spacing w:val="-1"/>
              </w:rPr>
              <w:t>《中华人民共和国药典》（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2020</w:t>
            </w:r>
            <w:r>
              <w:rPr>
                <w:spacing w:val="-1"/>
              </w:rPr>
              <w:t>年版）</w:t>
            </w:r>
          </w:p>
        </w:tc>
      </w:tr>
    </w:tbl>
    <w:p>
      <w:pPr>
        <w:pStyle w:val="BodyText"/>
        <w:spacing w:line="368" w:lineRule="auto"/>
        <w:rPr/>
      </w:pPr>
      <w:r/>
    </w:p>
    <w:p>
      <w:pPr>
        <w:ind w:left="187"/>
        <w:spacing w:before="65" w:line="230" w:lineRule="auto"/>
        <w:outlineLvl w:val="1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5"/>
        </w:rPr>
        <w:t>3.4</w:t>
      </w:r>
      <w:r>
        <w:rPr>
          <w:rFonts w:ascii="SimHei" w:hAnsi="SimHei" w:eastAsia="SimHei" w:cs="SimHei"/>
          <w:sz w:val="20"/>
          <w:szCs w:val="20"/>
          <w:spacing w:val="19"/>
        </w:rPr>
        <w:t xml:space="preserve"> </w:t>
      </w:r>
      <w:r>
        <w:rPr>
          <w:rFonts w:ascii="SimHei" w:hAnsi="SimHei" w:eastAsia="SimHei" w:cs="SimHei"/>
          <w:sz w:val="20"/>
          <w:szCs w:val="20"/>
          <w:spacing w:val="5"/>
        </w:rPr>
        <w:t>污染物限量</w:t>
      </w:r>
    </w:p>
    <w:p>
      <w:pPr>
        <w:pStyle w:val="BodyText"/>
        <w:spacing w:line="293" w:lineRule="auto"/>
        <w:rPr/>
      </w:pPr>
      <w:r/>
    </w:p>
    <w:p>
      <w:pPr>
        <w:ind w:left="626"/>
        <w:spacing w:before="65" w:line="22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2"/>
        </w:rPr>
        <w:t>污染物限量应符合表</w:t>
      </w:r>
      <w:r>
        <w:rPr>
          <w:rFonts w:ascii="SimSun" w:hAnsi="SimSun" w:eastAsia="SimSun" w:cs="SimSun"/>
          <w:sz w:val="20"/>
          <w:szCs w:val="20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2"/>
        </w:rPr>
        <w:t>3</w:t>
      </w:r>
      <w:r>
        <w:rPr>
          <w:rFonts w:ascii="Times New Roman" w:hAnsi="Times New Roman" w:eastAsia="Times New Roman" w:cs="Times New Roman"/>
          <w:sz w:val="20"/>
          <w:szCs w:val="20"/>
          <w:spacing w:val="25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2"/>
        </w:rPr>
        <w:t>的规定。</w:t>
      </w:r>
    </w:p>
    <w:p>
      <w:pPr>
        <w:ind w:left="4098"/>
        <w:spacing w:before="203" w:line="234" w:lineRule="auto"/>
        <w:rPr>
          <w:rFonts w:ascii="SimHei" w:hAnsi="SimHei" w:eastAsia="SimHei" w:cs="SimHei"/>
          <w:sz w:val="10"/>
          <w:szCs w:val="10"/>
        </w:rPr>
      </w:pPr>
      <w:r>
        <w:rPr>
          <w:rFonts w:ascii="SimHei" w:hAnsi="SimHei" w:eastAsia="SimHei" w:cs="SimHei"/>
          <w:sz w:val="20"/>
          <w:szCs w:val="20"/>
          <w:spacing w:val="2"/>
        </w:rPr>
        <w:t>表</w:t>
      </w:r>
      <w:r>
        <w:rPr>
          <w:rFonts w:ascii="SimHei" w:hAnsi="SimHei" w:eastAsia="SimHei" w:cs="SimHei"/>
          <w:sz w:val="20"/>
          <w:szCs w:val="20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2"/>
        </w:rPr>
        <w:t>3</w:t>
      </w:r>
      <w:r>
        <w:rPr>
          <w:rFonts w:ascii="Times New Roman" w:hAnsi="Times New Roman" w:eastAsia="Times New Roman" w:cs="Times New Roman"/>
          <w:sz w:val="20"/>
          <w:szCs w:val="20"/>
          <w:spacing w:val="4"/>
        </w:rPr>
        <w:t xml:space="preserve">    </w:t>
      </w:r>
      <w:r>
        <w:rPr>
          <w:rFonts w:ascii="SimHei" w:hAnsi="SimHei" w:eastAsia="SimHei" w:cs="SimHei"/>
          <w:sz w:val="20"/>
          <w:szCs w:val="20"/>
          <w:spacing w:val="2"/>
        </w:rPr>
        <w:t>污染物限量</w:t>
      </w:r>
      <w:r>
        <w:rPr>
          <w:rFonts w:ascii="SimHei" w:hAnsi="SimHei" w:eastAsia="SimHei" w:cs="SimHei"/>
          <w:sz w:val="20"/>
          <w:szCs w:val="20"/>
          <w:spacing w:val="-44"/>
        </w:rPr>
        <w:t xml:space="preserve"> </w:t>
      </w:r>
      <w:r>
        <w:rPr>
          <w:rFonts w:ascii="SimHei" w:hAnsi="SimHei" w:eastAsia="SimHei" w:cs="SimHei"/>
          <w:sz w:val="10"/>
          <w:szCs w:val="10"/>
          <w:spacing w:val="2"/>
          <w:position w:val="10"/>
        </w:rPr>
        <w:t>a</w:t>
      </w:r>
    </w:p>
    <w:tbl>
      <w:tblPr>
        <w:tblStyle w:val="TableNormal"/>
        <w:tblW w:w="9346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4793"/>
        <w:gridCol w:w="1568"/>
        <w:gridCol w:w="2985"/>
      </w:tblGrid>
      <w:tr>
        <w:trPr>
          <w:trHeight w:val="349" w:hRule="atLeast"/>
        </w:trPr>
        <w:tc>
          <w:tcPr>
            <w:tcW w:w="4793" w:type="dxa"/>
            <w:vAlign w:val="top"/>
          </w:tcPr>
          <w:p>
            <w:pPr>
              <w:pStyle w:val="TableText"/>
              <w:ind w:left="2135"/>
              <w:spacing w:before="115" w:line="220" w:lineRule="auto"/>
              <w:rPr/>
            </w:pPr>
            <w:r>
              <w:rPr>
                <w:spacing w:val="-5"/>
              </w:rPr>
              <w:t>项</w:t>
            </w:r>
            <w:r>
              <w:rPr>
                <w:spacing w:val="20"/>
              </w:rPr>
              <w:t xml:space="preserve">  </w:t>
            </w:r>
            <w:r>
              <w:rPr>
                <w:spacing w:val="-5"/>
              </w:rPr>
              <w:t>目</w:t>
            </w:r>
          </w:p>
        </w:tc>
        <w:tc>
          <w:tcPr>
            <w:tcW w:w="1568" w:type="dxa"/>
            <w:vAlign w:val="top"/>
          </w:tcPr>
          <w:p>
            <w:pPr>
              <w:pStyle w:val="TableText"/>
              <w:ind w:left="621"/>
              <w:spacing w:before="115" w:line="220" w:lineRule="auto"/>
              <w:rPr/>
            </w:pPr>
            <w:r>
              <w:rPr>
                <w:spacing w:val="-10"/>
              </w:rPr>
              <w:t>限量</w:t>
            </w:r>
          </w:p>
        </w:tc>
        <w:tc>
          <w:tcPr>
            <w:tcW w:w="2985" w:type="dxa"/>
            <w:vAlign w:val="top"/>
          </w:tcPr>
          <w:p>
            <w:pPr>
              <w:pStyle w:val="TableText"/>
              <w:ind w:left="1135"/>
              <w:spacing w:before="115" w:line="219" w:lineRule="auto"/>
              <w:rPr/>
            </w:pPr>
            <w:r>
              <w:rPr>
                <w:spacing w:val="-2"/>
              </w:rPr>
              <w:t>检验方法</w:t>
            </w:r>
          </w:p>
        </w:tc>
      </w:tr>
      <w:tr>
        <w:trPr>
          <w:trHeight w:val="344" w:hRule="atLeast"/>
        </w:trPr>
        <w:tc>
          <w:tcPr>
            <w:tcW w:w="4793" w:type="dxa"/>
            <w:vAlign w:val="top"/>
          </w:tcPr>
          <w:p>
            <w:pPr>
              <w:pStyle w:val="TableText"/>
              <w:ind w:left="114"/>
              <w:spacing w:before="111" w:line="212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pacing w:val="-1"/>
              </w:rPr>
              <w:t>铅（以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Pb</w:t>
            </w:r>
            <w:r>
              <w:rPr>
                <w:spacing w:val="-1"/>
              </w:rPr>
              <w:t>计</w:t>
            </w:r>
            <w:r>
              <w:rPr>
                <w:spacing w:val="1"/>
              </w:rPr>
              <w:t>），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</w:p>
        </w:tc>
        <w:tc>
          <w:tcPr>
            <w:tcW w:w="1568" w:type="dxa"/>
            <w:vAlign w:val="top"/>
          </w:tcPr>
          <w:p>
            <w:pPr>
              <w:ind w:left="689"/>
              <w:spacing w:before="111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7"/>
              </w:rPr>
              <w:t>1.0</w:t>
            </w:r>
          </w:p>
        </w:tc>
        <w:tc>
          <w:tcPr>
            <w:tcW w:w="2985" w:type="dxa"/>
            <w:vAlign w:val="top"/>
          </w:tcPr>
          <w:p>
            <w:pPr>
              <w:pStyle w:val="TableText"/>
              <w:ind w:left="482"/>
              <w:spacing w:before="111" w:line="223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2"/>
              </w:rPr>
              <w:t>GB 5009.</w:t>
            </w:r>
            <w:r>
              <w:rPr>
                <w:rFonts w:ascii="Times New Roman" w:hAnsi="Times New Roman" w:eastAsia="Times New Roman" w:cs="Times New Roman"/>
                <w:spacing w:val="-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12</w:t>
            </w:r>
            <w:r>
              <w:rPr>
                <w:spacing w:val="-2"/>
              </w:rPr>
              <w:t>或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GB</w:t>
            </w:r>
            <w:r>
              <w:rPr>
                <w:rFonts w:ascii="Times New Roman" w:hAnsi="Times New Roman" w:eastAsia="Times New Roman" w:cs="Times New Roman"/>
                <w:spacing w:val="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5009.268</w:t>
            </w:r>
          </w:p>
        </w:tc>
      </w:tr>
      <w:tr>
        <w:trPr>
          <w:trHeight w:val="344" w:hRule="atLeast"/>
        </w:trPr>
        <w:tc>
          <w:tcPr>
            <w:tcW w:w="4793" w:type="dxa"/>
            <w:vAlign w:val="top"/>
          </w:tcPr>
          <w:p>
            <w:pPr>
              <w:pStyle w:val="TableText"/>
              <w:ind w:left="112"/>
              <w:spacing w:before="113" w:line="212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pacing w:val="-1"/>
              </w:rPr>
              <w:t>镉（以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Cd</w:t>
            </w:r>
            <w:r>
              <w:rPr>
                <w:spacing w:val="-1"/>
              </w:rPr>
              <w:t>计</w:t>
            </w:r>
            <w:r>
              <w:rPr>
                <w:spacing w:val="2"/>
              </w:rPr>
              <w:t>），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</w:p>
        </w:tc>
        <w:tc>
          <w:tcPr>
            <w:tcW w:w="1568" w:type="dxa"/>
            <w:vAlign w:val="top"/>
          </w:tcPr>
          <w:p>
            <w:pPr>
              <w:ind w:left="675"/>
              <w:spacing w:before="110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1</w:t>
            </w:r>
          </w:p>
        </w:tc>
        <w:tc>
          <w:tcPr>
            <w:tcW w:w="2985" w:type="dxa"/>
            <w:vAlign w:val="top"/>
          </w:tcPr>
          <w:p>
            <w:pPr>
              <w:pStyle w:val="TableText"/>
              <w:ind w:left="482"/>
              <w:spacing w:before="112" w:line="223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2"/>
              </w:rPr>
              <w:t>GB 5009.</w:t>
            </w:r>
            <w:r>
              <w:rPr>
                <w:rFonts w:ascii="Times New Roman" w:hAnsi="Times New Roman" w:eastAsia="Times New Roman" w:cs="Times New Roman"/>
                <w:spacing w:val="-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15</w:t>
            </w:r>
            <w:r>
              <w:rPr>
                <w:spacing w:val="-2"/>
              </w:rPr>
              <w:t>或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GB</w:t>
            </w:r>
            <w:r>
              <w:rPr>
                <w:rFonts w:ascii="Times New Roman" w:hAnsi="Times New Roman" w:eastAsia="Times New Roman" w:cs="Times New Roman"/>
                <w:spacing w:val="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5009.268</w:t>
            </w:r>
          </w:p>
        </w:tc>
      </w:tr>
      <w:tr>
        <w:trPr>
          <w:trHeight w:val="344" w:hRule="atLeast"/>
        </w:trPr>
        <w:tc>
          <w:tcPr>
            <w:tcW w:w="4793" w:type="dxa"/>
            <w:vAlign w:val="top"/>
          </w:tcPr>
          <w:p>
            <w:pPr>
              <w:pStyle w:val="TableText"/>
              <w:ind w:left="113"/>
              <w:spacing w:before="114" w:line="212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pacing w:val="-1"/>
              </w:rPr>
              <w:t>砷（以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As</w:t>
            </w:r>
            <w:r>
              <w:rPr>
                <w:spacing w:val="-1"/>
              </w:rPr>
              <w:t>计</w:t>
            </w:r>
            <w:r>
              <w:rPr>
                <w:spacing w:val="2"/>
              </w:rPr>
              <w:t>），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mg/kg</w:t>
            </w:r>
          </w:p>
        </w:tc>
        <w:tc>
          <w:tcPr>
            <w:tcW w:w="1568" w:type="dxa"/>
            <w:vAlign w:val="top"/>
          </w:tcPr>
          <w:p>
            <w:pPr>
              <w:ind w:left="675"/>
              <w:spacing w:before="112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0.5</w:t>
            </w:r>
          </w:p>
        </w:tc>
        <w:tc>
          <w:tcPr>
            <w:tcW w:w="2985" w:type="dxa"/>
            <w:vAlign w:val="top"/>
          </w:tcPr>
          <w:p>
            <w:pPr>
              <w:pStyle w:val="TableText"/>
              <w:ind w:left="482"/>
              <w:spacing w:before="114" w:line="223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2"/>
              </w:rPr>
              <w:t>GB 5009.</w:t>
            </w:r>
            <w:r>
              <w:rPr>
                <w:rFonts w:ascii="Times New Roman" w:hAnsi="Times New Roman" w:eastAsia="Times New Roman" w:cs="Times New Roman"/>
                <w:spacing w:val="-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11</w:t>
            </w:r>
            <w:r>
              <w:rPr>
                <w:spacing w:val="-2"/>
              </w:rPr>
              <w:t>或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GB</w:t>
            </w:r>
            <w:r>
              <w:rPr>
                <w:rFonts w:ascii="Times New Roman" w:hAnsi="Times New Roman" w:eastAsia="Times New Roman" w:cs="Times New Roman"/>
                <w:spacing w:val="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5009.268</w:t>
            </w:r>
          </w:p>
        </w:tc>
      </w:tr>
      <w:tr>
        <w:trPr>
          <w:trHeight w:val="344" w:hRule="atLeast"/>
        </w:trPr>
        <w:tc>
          <w:tcPr>
            <w:tcW w:w="4793" w:type="dxa"/>
            <w:vAlign w:val="top"/>
          </w:tcPr>
          <w:p>
            <w:pPr>
              <w:pStyle w:val="TableText"/>
              <w:ind w:left="114"/>
              <w:spacing w:before="115" w:line="21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pacing w:val="-2"/>
              </w:rPr>
              <w:t>汞（以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Hg</w:t>
            </w:r>
            <w:r>
              <w:rPr>
                <w:spacing w:val="-2"/>
              </w:rPr>
              <w:t>计</w:t>
            </w:r>
            <w:r>
              <w:rPr>
                <w:spacing w:val="5"/>
              </w:rPr>
              <w:t>），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mg/kg</w:t>
            </w:r>
          </w:p>
        </w:tc>
        <w:tc>
          <w:tcPr>
            <w:tcW w:w="1568" w:type="dxa"/>
            <w:vAlign w:val="top"/>
          </w:tcPr>
          <w:p>
            <w:pPr>
              <w:ind w:left="675"/>
              <w:spacing w:before="113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0.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</w:rPr>
              <w:t>1</w:t>
            </w:r>
          </w:p>
        </w:tc>
        <w:tc>
          <w:tcPr>
            <w:tcW w:w="2985" w:type="dxa"/>
            <w:vAlign w:val="top"/>
          </w:tcPr>
          <w:p>
            <w:pPr>
              <w:pStyle w:val="TableText"/>
              <w:ind w:left="482"/>
              <w:spacing w:before="115" w:line="223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2"/>
              </w:rPr>
              <w:t>GB 5009.</w:t>
            </w:r>
            <w:r>
              <w:rPr>
                <w:rFonts w:ascii="Times New Roman" w:hAnsi="Times New Roman" w:eastAsia="Times New Roman" w:cs="Times New Roman"/>
                <w:spacing w:val="-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17</w:t>
            </w:r>
            <w:r>
              <w:rPr>
                <w:spacing w:val="-2"/>
              </w:rPr>
              <w:t>或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GB</w:t>
            </w:r>
            <w:r>
              <w:rPr>
                <w:rFonts w:ascii="Times New Roman" w:hAnsi="Times New Roman" w:eastAsia="Times New Roman" w:cs="Times New Roman"/>
                <w:spacing w:val="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5009.268</w:t>
            </w:r>
          </w:p>
        </w:tc>
      </w:tr>
      <w:tr>
        <w:trPr>
          <w:trHeight w:val="349" w:hRule="atLeast"/>
        </w:trPr>
        <w:tc>
          <w:tcPr>
            <w:tcW w:w="9346" w:type="dxa"/>
            <w:vAlign w:val="top"/>
            <w:gridSpan w:val="3"/>
          </w:tcPr>
          <w:p>
            <w:pPr>
              <w:pStyle w:val="TableText"/>
              <w:ind w:left="111"/>
              <w:spacing w:before="116" w:line="219" w:lineRule="auto"/>
              <w:rPr/>
            </w:pPr>
            <w:r>
              <w:rPr>
                <w:rFonts w:ascii="Times New Roman" w:hAnsi="Times New Roman" w:eastAsia="Times New Roman" w:cs="Times New Roman"/>
                <w:sz w:val="11"/>
                <w:szCs w:val="11"/>
                <w:position w:val="6"/>
              </w:rPr>
              <w:t>a   </w:t>
            </w:r>
            <w:r>
              <w:rPr/>
              <w:t>污染物限量基于干品确定，鲜品根据干品按水分进行折算。</w:t>
            </w:r>
          </w:p>
        </w:tc>
      </w:tr>
    </w:tbl>
    <w:p>
      <w:pPr>
        <w:pStyle w:val="BodyText"/>
        <w:spacing w:line="368" w:lineRule="auto"/>
        <w:rPr/>
      </w:pPr>
      <w:r/>
    </w:p>
    <w:p>
      <w:pPr>
        <w:ind w:left="187"/>
        <w:spacing w:before="65" w:line="225" w:lineRule="auto"/>
        <w:outlineLvl w:val="1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6"/>
        </w:rPr>
        <w:t>3.5</w:t>
      </w:r>
      <w:r>
        <w:rPr>
          <w:rFonts w:ascii="SimHei" w:hAnsi="SimHei" w:eastAsia="SimHei" w:cs="SimHei"/>
          <w:sz w:val="20"/>
          <w:szCs w:val="20"/>
          <w:spacing w:val="6"/>
        </w:rPr>
        <w:t xml:space="preserve"> </w:t>
      </w:r>
      <w:r>
        <w:rPr>
          <w:rFonts w:ascii="SimHei" w:hAnsi="SimHei" w:eastAsia="SimHei" w:cs="SimHei"/>
          <w:sz w:val="20"/>
          <w:szCs w:val="20"/>
          <w:spacing w:val="6"/>
        </w:rPr>
        <w:t>农药残留限量</w:t>
      </w:r>
    </w:p>
    <w:p>
      <w:pPr>
        <w:pStyle w:val="BodyText"/>
        <w:spacing w:line="320" w:lineRule="auto"/>
        <w:rPr/>
      </w:pPr>
      <w:r/>
    </w:p>
    <w:p>
      <w:pPr>
        <w:ind w:left="602"/>
        <w:spacing w:before="65" w:line="227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6"/>
        </w:rPr>
        <w:t>农药限量应符合</w:t>
      </w:r>
      <w:r>
        <w:rPr>
          <w:rFonts w:ascii="SimSun" w:hAnsi="SimSun" w:eastAsia="SimSun" w:cs="SimSun"/>
          <w:sz w:val="20"/>
          <w:szCs w:val="20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GB</w:t>
      </w:r>
      <w:r>
        <w:rPr>
          <w:rFonts w:ascii="Times New Roman" w:hAnsi="Times New Roman" w:eastAsia="Times New Roman" w:cs="Times New Roman"/>
          <w:sz w:val="20"/>
          <w:szCs w:val="20"/>
          <w:spacing w:val="6"/>
        </w:rPr>
        <w:t xml:space="preserve"> 2763 </w:t>
      </w:r>
      <w:r>
        <w:rPr>
          <w:rFonts w:ascii="SimSun" w:hAnsi="SimSun" w:eastAsia="SimSun" w:cs="SimSun"/>
          <w:sz w:val="20"/>
          <w:szCs w:val="20"/>
          <w:spacing w:val="6"/>
        </w:rPr>
        <w:t>及农业农村部的相关规定。</w:t>
      </w:r>
    </w:p>
    <w:p>
      <w:pPr>
        <w:pStyle w:val="BodyText"/>
        <w:spacing w:line="466" w:lineRule="auto"/>
        <w:rPr/>
      </w:pPr>
      <w:r/>
    </w:p>
    <w:p>
      <w:pPr>
        <w:ind w:left="181"/>
        <w:spacing w:before="65" w:line="231" w:lineRule="auto"/>
        <w:outlineLvl w:val="0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3"/>
        </w:rPr>
        <w:t>4</w:t>
      </w:r>
      <w:r>
        <w:rPr>
          <w:rFonts w:ascii="SimHei" w:hAnsi="SimHei" w:eastAsia="SimHei" w:cs="SimHei"/>
          <w:sz w:val="20"/>
          <w:szCs w:val="20"/>
          <w:spacing w:val="10"/>
        </w:rPr>
        <w:t xml:space="preserve">  </w:t>
      </w:r>
      <w:r>
        <w:rPr>
          <w:rFonts w:ascii="SimHei" w:hAnsi="SimHei" w:eastAsia="SimHei" w:cs="SimHei"/>
          <w:sz w:val="20"/>
          <w:szCs w:val="20"/>
          <w:spacing w:val="3"/>
        </w:rPr>
        <w:t>其他</w:t>
      </w:r>
    </w:p>
    <w:p>
      <w:pPr>
        <w:ind w:left="189" w:right="179" w:firstLine="420"/>
        <w:spacing w:before="261" w:line="252" w:lineRule="auto"/>
        <w:rPr>
          <w:rFonts w:ascii="SimSun" w:hAnsi="SimSun" w:eastAsia="SimSun" w:cs="SimSun"/>
          <w:sz w:val="20"/>
          <w:szCs w:val="20"/>
        </w:rPr>
      </w:pPr>
      <w:r>
        <w:drawing>
          <wp:anchor distT="0" distB="0" distL="0" distR="0" simplePos="0" relativeHeight="251762688" behindDoc="0" locked="0" layoutInCell="1" allowOverlap="1">
            <wp:simplePos x="0" y="0"/>
            <wp:positionH relativeFrom="column">
              <wp:posOffset>1828038</wp:posOffset>
            </wp:positionH>
            <wp:positionV relativeFrom="paragraph">
              <wp:posOffset>1143709</wp:posOffset>
            </wp:positionV>
            <wp:extent cx="1889759" cy="9525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9759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0"/>
          <w:szCs w:val="20"/>
          <w:spacing w:val="9"/>
        </w:rPr>
        <w:t>按照传统方式适量食用，孕妇、哺乳期妇女及婴幼儿等特殊人群不推荐食用。</w:t>
      </w:r>
      <w:r>
        <w:rPr>
          <w:rFonts w:ascii="SimSun" w:hAnsi="SimSun" w:eastAsia="SimSun" w:cs="SimSun"/>
          <w:sz w:val="20"/>
          <w:szCs w:val="20"/>
          <w:spacing w:val="8"/>
        </w:rPr>
        <w:t>传统方式通常指</w:t>
      </w:r>
      <w:r>
        <w:rPr>
          <w:rFonts w:ascii="SimSun" w:hAnsi="SimSun" w:eastAsia="SimSun" w:cs="SimSun"/>
          <w:sz w:val="20"/>
          <w:szCs w:val="2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9"/>
        </w:rPr>
        <w:t>用于煲汤、入菜、制作果酒、果汁、蜜饯果脯等。</w:t>
      </w:r>
    </w:p>
    <w:p>
      <w:pPr>
        <w:spacing w:line="252" w:lineRule="auto"/>
        <w:sectPr>
          <w:headerReference w:type="default" r:id="rId61"/>
          <w:footerReference w:type="default" r:id="rId62"/>
          <w:pgSz w:w="11907" w:h="16840"/>
          <w:pgMar w:top="1709" w:right="949" w:bottom="1471" w:left="1606" w:header="1412" w:footer="1239" w:gutter="0"/>
        </w:sectPr>
        <w:rPr>
          <w:rFonts w:ascii="SimSun" w:hAnsi="SimSun" w:eastAsia="SimSun" w:cs="SimSun"/>
          <w:sz w:val="20"/>
          <w:szCs w:val="20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928" w:right="748" w:firstLine="3"/>
        <w:spacing w:before="140" w:line="401" w:lineRule="auto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b/>
          <w:bCs/>
          <w:spacing w:val="-15"/>
        </w:rPr>
        <w:t>浙江省食品安全地方标准《山茱萸》</w:t>
      </w:r>
      <w:r>
        <w:rPr>
          <w:rFonts w:ascii="SimSun" w:hAnsi="SimSun" w:eastAsia="SimSun" w:cs="SimSun"/>
          <w:sz w:val="43"/>
          <w:szCs w:val="43"/>
          <w:spacing w:val="14"/>
        </w:rPr>
        <w:t xml:space="preserve"> </w:t>
      </w:r>
      <w:r>
        <w:rPr>
          <w:rFonts w:ascii="SimSun" w:hAnsi="SimSun" w:eastAsia="SimSun" w:cs="SimSun"/>
          <w:sz w:val="43"/>
          <w:szCs w:val="43"/>
          <w:b/>
          <w:bCs/>
          <w:spacing w:val="26"/>
        </w:rPr>
        <w:t>（</w:t>
      </w:r>
      <w:r>
        <w:rPr>
          <w:rFonts w:ascii="SimSun" w:hAnsi="SimSun" w:eastAsia="SimSun" w:cs="SimSun"/>
          <w:sz w:val="43"/>
          <w:szCs w:val="43"/>
          <w:b/>
          <w:bCs/>
        </w:rPr>
        <w:t>DBS</w:t>
      </w:r>
      <w:r>
        <w:rPr>
          <w:rFonts w:ascii="SimSun" w:hAnsi="SimSun" w:eastAsia="SimSun" w:cs="SimSun"/>
          <w:sz w:val="43"/>
          <w:szCs w:val="43"/>
          <w:b/>
          <w:bCs/>
          <w:spacing w:val="26"/>
        </w:rPr>
        <w:t>33/</w:t>
      </w:r>
      <w:r>
        <w:rPr>
          <w:rFonts w:ascii="SimSun" w:hAnsi="SimSun" w:eastAsia="SimSun" w:cs="SimSun"/>
          <w:sz w:val="43"/>
          <w:szCs w:val="43"/>
          <w:b/>
          <w:bCs/>
        </w:rPr>
        <w:t>XXXX</w:t>
      </w:r>
      <w:r>
        <w:rPr>
          <w:rFonts w:ascii="SimSun" w:hAnsi="SimSun" w:eastAsia="SimSun" w:cs="SimSun"/>
          <w:sz w:val="43"/>
          <w:szCs w:val="43"/>
          <w:b/>
          <w:bCs/>
          <w:spacing w:val="26"/>
        </w:rPr>
        <w:t>—202X）编制说明</w:t>
      </w:r>
    </w:p>
    <w:p>
      <w:pPr>
        <w:pStyle w:val="BodyText"/>
        <w:spacing w:line="384" w:lineRule="auto"/>
        <w:rPr/>
      </w:pPr>
      <w:r/>
    </w:p>
    <w:p>
      <w:pPr>
        <w:ind w:left="29"/>
        <w:spacing w:before="91" w:line="222" w:lineRule="auto"/>
        <w:outlineLvl w:val="0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3"/>
        </w:rPr>
        <w:t>一、工作简况</w:t>
      </w:r>
    </w:p>
    <w:p>
      <w:pPr>
        <w:pStyle w:val="BodyText"/>
        <w:spacing w:line="285" w:lineRule="auto"/>
        <w:rPr/>
      </w:pPr>
      <w:r/>
    </w:p>
    <w:p>
      <w:pPr>
        <w:ind w:left="44"/>
        <w:spacing w:before="91" w:line="225" w:lineRule="auto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-5"/>
        </w:rPr>
        <w:t>（一）任务来源</w:t>
      </w:r>
    </w:p>
    <w:p>
      <w:pPr>
        <w:ind w:left="580"/>
        <w:spacing w:before="218" w:line="215" w:lineRule="auto"/>
        <w:outlineLvl w:val="0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根据《浙江省卫生健康委员会关于印发</w:t>
      </w:r>
      <w:r>
        <w:rPr>
          <w:rFonts w:ascii="FangSong_GB2312" w:hAnsi="FangSong_GB2312" w:eastAsia="FangSong_GB2312" w:cs="FangSong_GB2312"/>
          <w:sz w:val="28"/>
          <w:szCs w:val="28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2024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年度食品安全地方</w:t>
      </w:r>
    </w:p>
    <w:p>
      <w:pPr>
        <w:ind w:left="27" w:right="87" w:hanging="5"/>
        <w:spacing w:before="235" w:line="36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标准项目计划的通知》（浙卫发函〔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2024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〕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239</w:t>
      </w:r>
      <w:r>
        <w:rPr>
          <w:rFonts w:ascii="Times New Roman" w:hAnsi="Times New Roman" w:eastAsia="Times New Roman" w:cs="Times New Roman"/>
          <w:sz w:val="28"/>
          <w:szCs w:val="28"/>
          <w:spacing w:val="26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号）要求，《浙江省食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5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山茱萸》列为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2024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年度浙江省食品安全地方标准制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定项目，项目委托浙江省疾病预防控制中心、浙江省中药材产业协会</w:t>
      </w:r>
      <w:r>
        <w:rPr>
          <w:rFonts w:ascii="FangSong_GB2312" w:hAnsi="FangSong_GB2312" w:eastAsia="FangSong_GB2312" w:cs="FangSong_GB2312"/>
          <w:sz w:val="28"/>
          <w:szCs w:val="28"/>
          <w:spacing w:val="1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组建标准起草组制定。</w:t>
      </w:r>
    </w:p>
    <w:p>
      <w:pPr>
        <w:ind w:left="44"/>
        <w:spacing w:before="1" w:line="228" w:lineRule="auto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-4"/>
        </w:rPr>
        <w:t>（二）制标必要性</w:t>
      </w:r>
    </w:p>
    <w:p>
      <w:pPr>
        <w:spacing w:before="213" w:line="214" w:lineRule="auto"/>
        <w:outlineLvl w:val="0"/>
        <w:jc w:val="right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山茱萸（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CorniFructus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）是山茱萸属植物山茱萸的干燥成熟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果肉，</w:t>
      </w:r>
    </w:p>
    <w:p>
      <w:pPr>
        <w:ind w:left="22" w:firstLine="7"/>
        <w:spacing w:before="239" w:line="36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也是我国传统的名贵中药材。主产于山西、江苏、浙江、安徽、江西、</w:t>
      </w:r>
      <w:r>
        <w:rPr>
          <w:rFonts w:ascii="FangSong_GB2312" w:hAnsi="FangSong_GB2312" w:eastAsia="FangSong_GB2312" w:cs="FangSong_GB2312"/>
          <w:sz w:val="28"/>
          <w:szCs w:val="28"/>
          <w:spacing w:val="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山东、河南、湖南、四川、陕西、甘肃等地，主产区为陕西佛坪县、</w:t>
      </w:r>
      <w:r>
        <w:rPr>
          <w:rFonts w:ascii="FangSong_GB2312" w:hAnsi="FangSong_GB2312" w:eastAsia="FangSong_GB2312" w:cs="FangSong_GB2312"/>
          <w:sz w:val="28"/>
          <w:szCs w:val="28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河南西峡县和浙江淳安县，多为人工栽培。《中华人民共和国药典》</w:t>
      </w:r>
      <w:r>
        <w:rPr>
          <w:rFonts w:ascii="FangSong_GB2312" w:hAnsi="FangSong_GB2312" w:eastAsia="FangSong_GB2312" w:cs="FangSong_GB2312"/>
          <w:sz w:val="28"/>
          <w:szCs w:val="28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1963 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版开始收录山茱萸。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2002 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年原卫生部将山茱萸（需提供可使用</w:t>
      </w:r>
      <w:r>
        <w:rPr>
          <w:rFonts w:ascii="FangSong_GB2312" w:hAnsi="FangSong_GB2312" w:eastAsia="FangSong_GB2312" w:cs="FangSong_GB2312"/>
          <w:sz w:val="28"/>
          <w:szCs w:val="28"/>
          <w:spacing w:val="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证明）纳入《保健食品的物品名单》。我国部分地区有以山茱萸煲汤</w:t>
      </w:r>
      <w:r>
        <w:rPr>
          <w:rFonts w:ascii="FangSong_GB2312" w:hAnsi="FangSong_GB2312" w:eastAsia="FangSong_GB2312" w:cs="FangSong_GB2312"/>
          <w:sz w:val="28"/>
          <w:szCs w:val="28"/>
          <w:spacing w:val="1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做菜的民间食用习惯，同时山茱萸也被作为原料广泛用于保健食品的</w:t>
      </w:r>
      <w:r>
        <w:rPr>
          <w:rFonts w:ascii="FangSong_GB2312" w:hAnsi="FangSong_GB2312" w:eastAsia="FangSong_GB2312" w:cs="FangSong_GB2312"/>
          <w:sz w:val="28"/>
          <w:szCs w:val="28"/>
          <w:spacing w:val="1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开发。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2019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年</w:t>
      </w:r>
      <w:r>
        <w:rPr>
          <w:rFonts w:ascii="FangSong_GB2312" w:hAnsi="FangSong_GB2312" w:eastAsia="FangSong_GB2312" w:cs="FangSong_GB2312"/>
          <w:sz w:val="28"/>
          <w:szCs w:val="28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11</w:t>
      </w:r>
      <w:r>
        <w:rPr>
          <w:rFonts w:ascii="Times New Roman" w:hAnsi="Times New Roman" w:eastAsia="Times New Roman" w:cs="Times New Roman"/>
          <w:sz w:val="28"/>
          <w:szCs w:val="28"/>
          <w:spacing w:val="21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月，国家卫生健康委会同国家市场监督管理总局下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发文件，将包括山茱萸在内的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9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种物质作为按照传统既是食品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又是中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药材的物质（</w:t>
      </w:r>
      <w:r>
        <w:rPr>
          <w:rFonts w:ascii="FangSong_GB2312" w:hAnsi="FangSong_GB2312" w:eastAsia="FangSong_GB2312" w:cs="FangSong_GB2312"/>
          <w:sz w:val="28"/>
          <w:szCs w:val="28"/>
          <w:spacing w:val="-6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以下简称食药物质）进行试点管理。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2023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年，国家卫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生健康委联合国家市场监督管理总局发布公告，正式将这</w:t>
      </w:r>
      <w:r>
        <w:rPr>
          <w:rFonts w:ascii="FangSong_GB2312" w:hAnsi="FangSong_GB2312" w:eastAsia="FangSong_GB2312" w:cs="FangSong_GB2312"/>
          <w:sz w:val="28"/>
          <w:szCs w:val="28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9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种物质纳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入按照传统既是食品又是中药材的物质目录。经查阅《中华人民共和</w:t>
      </w:r>
    </w:p>
    <w:p>
      <w:pPr>
        <w:spacing w:line="369" w:lineRule="auto"/>
        <w:sectPr>
          <w:headerReference w:type="default" r:id="rId1"/>
          <w:footerReference w:type="default" r:id="rId64"/>
          <w:pgSz w:w="11906" w:h="16839"/>
          <w:pgMar w:top="400" w:right="1712" w:bottom="1377" w:left="1785" w:header="0" w:footer="1212" w:gutter="0"/>
        </w:sectPr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23" w:right="36" w:firstLine="25"/>
        <w:spacing w:before="91" w:line="368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</w:rPr>
        <w:t>国食品安全法》第</w:t>
      </w:r>
      <w:r>
        <w:rPr>
          <w:rFonts w:ascii="FangSong_GB2312" w:hAnsi="FangSong_GB2312" w:eastAsia="FangSong_GB2312" w:cs="FangSong_GB2312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29 </w:t>
      </w:r>
      <w:r>
        <w:rPr>
          <w:rFonts w:ascii="FangSong_GB2312" w:hAnsi="FangSong_GB2312" w:eastAsia="FangSong_GB2312" w:cs="FangSong_GB2312"/>
          <w:sz w:val="28"/>
          <w:szCs w:val="28"/>
        </w:rPr>
        <w:t>条，其规定：对地方特色食品，没有食品安全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国家标准的，省、自治区、直辖市人民政府卫生行政部门可以制定并</w:t>
      </w:r>
      <w:r>
        <w:rPr>
          <w:rFonts w:ascii="FangSong_GB2312" w:hAnsi="FangSong_GB2312" w:eastAsia="FangSong_GB2312" w:cs="FangSong_GB2312"/>
          <w:sz w:val="28"/>
          <w:szCs w:val="28"/>
          <w:spacing w:val="1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公布食品安全地方标准，报国务院卫生行政部门备案。</w:t>
      </w:r>
    </w:p>
    <w:p>
      <w:pPr>
        <w:ind w:right="34"/>
        <w:spacing w:before="4" w:line="213" w:lineRule="auto"/>
        <w:outlineLvl w:val="0"/>
        <w:jc w:val="right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山茱萸是淳安山区农民增收的重要品种，近年来，千岛湖旅游业</w:t>
      </w:r>
    </w:p>
    <w:p>
      <w:pPr>
        <w:ind w:left="27" w:firstLine="2"/>
        <w:spacing w:before="236" w:line="36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方兴未艾，开发旅游产品日益丰富，中医药养生产业蓬勃发展，公众</w:t>
      </w:r>
      <w:r>
        <w:rPr>
          <w:rFonts w:ascii="FangSong_GB2312" w:hAnsi="FangSong_GB2312" w:eastAsia="FangSong_GB2312" w:cs="FangSong_GB2312"/>
          <w:sz w:val="28"/>
          <w:szCs w:val="28"/>
          <w:spacing w:val="1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养生保健需求的不断增加，淳安临岐镇也在积极创建国家级中药材特</w:t>
      </w:r>
      <w:r>
        <w:rPr>
          <w:rFonts w:ascii="FangSong_GB2312" w:hAnsi="FangSong_GB2312" w:eastAsia="FangSong_GB2312" w:cs="FangSong_GB2312"/>
          <w:sz w:val="28"/>
          <w:szCs w:val="28"/>
          <w:spacing w:val="1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色强镇，由于目前缺乏统一的山茱萸食品安全地方标准，山茱萸全产</w:t>
      </w:r>
      <w:r>
        <w:rPr>
          <w:rFonts w:ascii="FangSong_GB2312" w:hAnsi="FangSong_GB2312" w:eastAsia="FangSong_GB2312" w:cs="FangSong_GB2312"/>
          <w:sz w:val="28"/>
          <w:szCs w:val="28"/>
          <w:spacing w:val="1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业链发展受到严重制约，是全行业强烈呼吁要解决的卡脖子标准，淳</w:t>
      </w:r>
      <w:r>
        <w:rPr>
          <w:rFonts w:ascii="FangSong_GB2312" w:hAnsi="FangSong_GB2312" w:eastAsia="FangSong_GB2312" w:cs="FangSong_GB2312"/>
          <w:sz w:val="28"/>
          <w:szCs w:val="28"/>
          <w:spacing w:val="1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安是省主要领导联系帮扶对接县，省领导也多次指示要求要加快推进</w:t>
      </w:r>
      <w:r>
        <w:rPr>
          <w:rFonts w:ascii="FangSong_GB2312" w:hAnsi="FangSong_GB2312" w:eastAsia="FangSong_GB2312" w:cs="FangSong_GB2312"/>
          <w:sz w:val="28"/>
          <w:szCs w:val="28"/>
          <w:spacing w:val="1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省食品安全标准的研制工作，加快产品研发，增加山区农民收入。研</w:t>
      </w:r>
      <w:r>
        <w:rPr>
          <w:rFonts w:ascii="FangSong_GB2312" w:hAnsi="FangSong_GB2312" w:eastAsia="FangSong_GB2312" w:cs="FangSong_GB2312"/>
          <w:sz w:val="28"/>
          <w:szCs w:val="28"/>
          <w:spacing w:val="1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制山茱萸食品安全地方标准，可确保山茱萸农药残留、重金属及微生</w:t>
      </w:r>
      <w:r>
        <w:rPr>
          <w:rFonts w:ascii="FangSong_GB2312" w:hAnsi="FangSong_GB2312" w:eastAsia="FangSong_GB2312" w:cs="FangSong_GB2312"/>
          <w:sz w:val="28"/>
          <w:szCs w:val="28"/>
          <w:spacing w:val="1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物等方面符合普通食品的要求，同时可以更加规范生产、加工和食用</w:t>
      </w:r>
      <w:r>
        <w:rPr>
          <w:rFonts w:ascii="FangSong_GB2312" w:hAnsi="FangSong_GB2312" w:eastAsia="FangSong_GB2312" w:cs="FangSong_GB2312"/>
          <w:sz w:val="28"/>
          <w:szCs w:val="28"/>
          <w:spacing w:val="1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等各环节，更大规模地满足广大公众的日常养生保健需求，有力推动</w:t>
      </w:r>
      <w:r>
        <w:rPr>
          <w:rFonts w:ascii="FangSong_GB2312" w:hAnsi="FangSong_GB2312" w:eastAsia="FangSong_GB2312" w:cs="FangSong_GB2312"/>
          <w:sz w:val="28"/>
          <w:szCs w:val="28"/>
          <w:spacing w:val="1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浙江山茱萸全产业链的做大做强，为山区农民增收发挥了积极作用。</w:t>
      </w:r>
    </w:p>
    <w:p>
      <w:pPr>
        <w:ind w:left="44"/>
        <w:spacing w:line="225" w:lineRule="auto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-7"/>
        </w:rPr>
        <w:t>（三）项</w:t>
      </w:r>
      <w:r>
        <w:rPr>
          <w:rFonts w:ascii="KaiTi" w:hAnsi="KaiTi" w:eastAsia="KaiTi" w:cs="KaiTi"/>
          <w:sz w:val="28"/>
          <w:szCs w:val="28"/>
          <w:spacing w:val="-55"/>
        </w:rPr>
        <w:t xml:space="preserve"> </w:t>
      </w:r>
      <w:r>
        <w:rPr>
          <w:rFonts w:ascii="KaiTi" w:hAnsi="KaiTi" w:eastAsia="KaiTi" w:cs="KaiTi"/>
          <w:sz w:val="28"/>
          <w:szCs w:val="28"/>
          <w:spacing w:val="-7"/>
        </w:rPr>
        <w:t>目负责单位及主要起草过程</w:t>
      </w:r>
    </w:p>
    <w:p>
      <w:pPr>
        <w:ind w:left="33" w:right="36" w:firstLine="567"/>
        <w:spacing w:before="216" w:line="358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浙江省疾病预防控制中心承担《山茱萸》标准制定项目。浙江省</w:t>
      </w:r>
      <w:r>
        <w:rPr>
          <w:rFonts w:ascii="FangSong_GB2312" w:hAnsi="FangSong_GB2312" w:eastAsia="FangSong_GB2312" w:cs="FangSong_GB2312"/>
          <w:sz w:val="28"/>
          <w:szCs w:val="28"/>
          <w:spacing w:val="1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中药材产业协会、浙江中医药大学、浙江寿仙谷医药股份有限公司作</w:t>
      </w:r>
      <w:r>
        <w:rPr>
          <w:rFonts w:ascii="FangSong_GB2312" w:hAnsi="FangSong_GB2312" w:eastAsia="FangSong_GB2312" w:cs="FangSong_GB2312"/>
          <w:sz w:val="28"/>
          <w:szCs w:val="28"/>
          <w:spacing w:val="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为协作单位参与标准的制定。标准主要起草人为：。</w:t>
      </w:r>
    </w:p>
    <w:p>
      <w:pPr>
        <w:ind w:left="17" w:right="34" w:firstLine="564"/>
        <w:spacing w:before="3" w:line="35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标准草案编制工作总历时</w:t>
      </w:r>
      <w:r>
        <w:rPr>
          <w:rFonts w:ascii="FangSong_GB2312" w:hAnsi="FangSong_GB2312" w:eastAsia="FangSong_GB2312" w:cs="FangSong_GB2312"/>
          <w:sz w:val="28"/>
          <w:szCs w:val="28"/>
          <w:spacing w:val="-4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13</w:t>
      </w:r>
      <w:r>
        <w:rPr>
          <w:rFonts w:ascii="FangSong_GB2312" w:hAnsi="FangSong_GB2312" w:eastAsia="FangSong_GB2312" w:cs="FangSong_GB2312"/>
          <w:sz w:val="28"/>
          <w:szCs w:val="28"/>
          <w:spacing w:val="-5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个月。主要工作过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程包括以下</w:t>
      </w:r>
      <w:r>
        <w:rPr>
          <w:rFonts w:ascii="FangSong_GB2312" w:hAnsi="FangSong_GB2312" w:eastAsia="FangSong_GB2312" w:cs="FangSong_GB2312"/>
          <w:sz w:val="28"/>
          <w:szCs w:val="28"/>
          <w:spacing w:val="-4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10</w:t>
      </w:r>
      <w:r>
        <w:rPr>
          <w:rFonts w:ascii="FangSong_GB2312" w:hAnsi="FangSong_GB2312" w:eastAsia="FangSong_GB2312" w:cs="FangSong_GB2312"/>
          <w:sz w:val="28"/>
          <w:szCs w:val="28"/>
          <w:spacing w:val="-5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个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6"/>
        </w:rPr>
        <w:t>阶段：1.产业发展及技术标准现状分析；2.标准</w:t>
      </w:r>
      <w:r>
        <w:rPr>
          <w:rFonts w:ascii="FangSong_GB2312" w:hAnsi="FangSong_GB2312" w:eastAsia="FangSong_GB2312" w:cs="FangSong_GB2312"/>
          <w:sz w:val="28"/>
          <w:szCs w:val="28"/>
          <w:spacing w:val="5"/>
        </w:rPr>
        <w:t>草案框架确定；3.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实地调研山茱萸生产过程；4.收集整理企业前期检测数据；5.采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集样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6"/>
        </w:rPr>
        <w:t>品实验室检测；6.标准草案编制及研讨；7.行业</w:t>
      </w:r>
      <w:r>
        <w:rPr>
          <w:rFonts w:ascii="FangSong_GB2312" w:hAnsi="FangSong_GB2312" w:eastAsia="FangSong_GB2312" w:cs="FangSong_GB2312"/>
          <w:sz w:val="28"/>
          <w:szCs w:val="28"/>
          <w:spacing w:val="5"/>
        </w:rPr>
        <w:t>公开征求意见；8.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形成标准征求意见稿；9.卫生健康委网上公开征求意见；10.形成标</w:t>
      </w:r>
      <w:r>
        <w:rPr>
          <w:rFonts w:ascii="FangSong_GB2312" w:hAnsi="FangSong_GB2312" w:eastAsia="FangSong_GB2312" w:cs="FangSong_GB2312"/>
          <w:sz w:val="28"/>
          <w:szCs w:val="28"/>
          <w:spacing w:val="1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准送审稿。</w:t>
      </w:r>
    </w:p>
    <w:p>
      <w:pPr>
        <w:ind w:left="581"/>
        <w:spacing w:before="2" w:line="21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标准制定过程中主要工作：</w:t>
      </w:r>
    </w:p>
    <w:p>
      <w:pPr>
        <w:spacing w:line="214" w:lineRule="auto"/>
        <w:sectPr>
          <w:footerReference w:type="default" r:id="rId65"/>
          <w:pgSz w:w="11906" w:h="16839"/>
          <w:pgMar w:top="400" w:right="1763" w:bottom="1378" w:left="1785" w:header="0" w:footer="1212" w:gutter="0"/>
        </w:sectPr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28" w:right="29" w:firstLine="566"/>
        <w:spacing w:before="91" w:line="359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</w:rPr>
        <w:t>2024</w:t>
      </w:r>
      <w:r>
        <w:rPr>
          <w:rFonts w:ascii="FangSong_GB2312" w:hAnsi="FangSong_GB2312" w:eastAsia="FangSong_GB2312" w:cs="FangSong_GB2312"/>
          <w:sz w:val="28"/>
          <w:szCs w:val="28"/>
          <w:spacing w:val="-3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年</w:t>
      </w:r>
      <w:r>
        <w:rPr>
          <w:rFonts w:ascii="FangSong_GB2312" w:hAnsi="FangSong_GB2312" w:eastAsia="FangSong_GB2312" w:cs="FangSong_GB2312"/>
          <w:sz w:val="28"/>
          <w:szCs w:val="28"/>
          <w:spacing w:val="-4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5</w:t>
      </w:r>
      <w:r>
        <w:rPr>
          <w:rFonts w:ascii="FangSong_GB2312" w:hAnsi="FangSong_GB2312" w:eastAsia="FangSong_GB2312" w:cs="FangSong_GB2312"/>
          <w:sz w:val="28"/>
          <w:szCs w:val="28"/>
          <w:spacing w:val="-3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月，项目获得省卫生健康委员会立项，签订委托协议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书。在正式启动标准起草工作初期，项目组就前期《关于做好铁皮石</w:t>
      </w:r>
      <w:r>
        <w:rPr>
          <w:rFonts w:ascii="FangSong_GB2312" w:hAnsi="FangSong_GB2312" w:eastAsia="FangSong_GB2312" w:cs="FangSong_GB2312"/>
          <w:sz w:val="28"/>
          <w:szCs w:val="28"/>
          <w:spacing w:val="1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斛、灵芝、山茱萸等按照传统既是食品又是中药材的物质管理试点产</w:t>
      </w:r>
      <w:r>
        <w:rPr>
          <w:rFonts w:ascii="FangSong_GB2312" w:hAnsi="FangSong_GB2312" w:eastAsia="FangSong_GB2312" w:cs="FangSong_GB2312"/>
          <w:sz w:val="28"/>
          <w:szCs w:val="28"/>
          <w:spacing w:val="1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品申报与许可工作的通知》中《试点物质原料质量安全指标要求》，</w:t>
      </w:r>
      <w:r>
        <w:rPr>
          <w:rFonts w:ascii="FangSong_GB2312" w:hAnsi="FangSong_GB2312" w:eastAsia="FangSong_GB2312" w:cs="FangSong_GB2312"/>
          <w:sz w:val="28"/>
          <w:szCs w:val="28"/>
          <w:spacing w:val="1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浙江省疾病预防控制中心作为技术机构，具体负责各项风险监测和风</w:t>
      </w:r>
      <w:r>
        <w:rPr>
          <w:rFonts w:ascii="FangSong_GB2312" w:hAnsi="FangSong_GB2312" w:eastAsia="FangSong_GB2312" w:cs="FangSong_GB2312"/>
          <w:sz w:val="28"/>
          <w:szCs w:val="28"/>
          <w:spacing w:val="1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6"/>
        </w:rPr>
        <w:t>险评估工作，对收集和检测的山茱萸食品安全标准相关数据</w:t>
      </w:r>
      <w:r>
        <w:rPr>
          <w:rFonts w:ascii="FangSong_GB2312" w:hAnsi="FangSong_GB2312" w:eastAsia="FangSong_GB2312" w:cs="FangSong_GB2312"/>
          <w:sz w:val="28"/>
          <w:szCs w:val="28"/>
          <w:spacing w:val="5"/>
        </w:rPr>
        <w:t>进行整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理、分析。</w:t>
      </w:r>
    </w:p>
    <w:p>
      <w:pPr>
        <w:ind w:right="21"/>
        <w:spacing w:before="126" w:line="214" w:lineRule="auto"/>
        <w:outlineLvl w:val="1"/>
        <w:jc w:val="right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2024</w:t>
      </w:r>
      <w:r>
        <w:rPr>
          <w:rFonts w:ascii="FangSong_GB2312" w:hAnsi="FangSong_GB2312" w:eastAsia="FangSong_GB2312" w:cs="FangSong_GB2312"/>
          <w:sz w:val="28"/>
          <w:szCs w:val="28"/>
          <w:spacing w:val="-5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年</w:t>
      </w:r>
      <w:r>
        <w:rPr>
          <w:rFonts w:ascii="FangSong_GB2312" w:hAnsi="FangSong_GB2312" w:eastAsia="FangSong_GB2312" w:cs="FangSong_GB2312"/>
          <w:sz w:val="28"/>
          <w:szCs w:val="28"/>
          <w:spacing w:val="-3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12</w:t>
      </w:r>
      <w:r>
        <w:rPr>
          <w:rFonts w:ascii="FangSong_GB2312" w:hAnsi="FangSong_GB2312" w:eastAsia="FangSong_GB2312" w:cs="FangSong_GB2312"/>
          <w:sz w:val="28"/>
          <w:szCs w:val="28"/>
          <w:spacing w:val="-4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月，《山茱萸》项目制定工作启动会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在金华召开。标</w:t>
      </w:r>
    </w:p>
    <w:p>
      <w:pPr>
        <w:ind w:left="25" w:firstLine="5"/>
        <w:spacing w:before="298" w:line="411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</w:rPr>
        <w:t>准起草项目组成员、相关行业协会和企业代表等</w:t>
      </w:r>
      <w:r>
        <w:rPr>
          <w:rFonts w:ascii="FangSong_GB2312" w:hAnsi="FangSong_GB2312" w:eastAsia="FangSong_GB2312" w:cs="FangSong_GB2312"/>
          <w:sz w:val="28"/>
          <w:szCs w:val="28"/>
          <w:spacing w:val="-4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20</w:t>
      </w:r>
      <w:r>
        <w:rPr>
          <w:rFonts w:ascii="FangSong_GB2312" w:hAnsi="FangSong_GB2312" w:eastAsia="FangSong_GB2312" w:cs="FangSong_GB2312"/>
          <w:sz w:val="28"/>
          <w:szCs w:val="28"/>
          <w:spacing w:val="-5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余人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参与了此次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会议。会议讨论并明确了标准的适用范围、拟定了标准的主要框架，</w:t>
      </w:r>
      <w:r>
        <w:rPr>
          <w:rFonts w:ascii="FangSong_GB2312" w:hAnsi="FangSong_GB2312" w:eastAsia="FangSong_GB2312" w:cs="FangSong_GB2312"/>
          <w:sz w:val="28"/>
          <w:szCs w:val="28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并就标准制定的任务分工、前期数据收集汇总及标准起草的整体进度</w:t>
      </w:r>
      <w:r>
        <w:rPr>
          <w:rFonts w:ascii="FangSong_GB2312" w:hAnsi="FangSong_GB2312" w:eastAsia="FangSong_GB2312" w:cs="FangSong_GB2312"/>
          <w:sz w:val="28"/>
          <w:szCs w:val="28"/>
          <w:spacing w:val="1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进行了整体安排。</w:t>
      </w:r>
    </w:p>
    <w:p>
      <w:pPr>
        <w:ind w:right="31"/>
        <w:spacing w:line="216" w:lineRule="auto"/>
        <w:outlineLvl w:val="1"/>
        <w:jc w:val="right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2025</w:t>
      </w:r>
      <w:r>
        <w:rPr>
          <w:rFonts w:ascii="FangSong_GB2312" w:hAnsi="FangSong_GB2312" w:eastAsia="FangSong_GB2312" w:cs="FangSong_GB2312"/>
          <w:sz w:val="28"/>
          <w:szCs w:val="28"/>
          <w:spacing w:val="-4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年</w:t>
      </w:r>
      <w:r>
        <w:rPr>
          <w:rFonts w:ascii="FangSong_GB2312" w:hAnsi="FangSong_GB2312" w:eastAsia="FangSong_GB2312" w:cs="FangSong_GB2312"/>
          <w:sz w:val="28"/>
          <w:szCs w:val="28"/>
          <w:spacing w:val="-4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2</w:t>
      </w:r>
      <w:r>
        <w:rPr>
          <w:rFonts w:ascii="FangSong_GB2312" w:hAnsi="FangSong_GB2312" w:eastAsia="FangSong_GB2312" w:cs="FangSong_GB2312"/>
          <w:sz w:val="28"/>
          <w:szCs w:val="28"/>
          <w:spacing w:val="-4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月，项目组开展起草组征求意见工作，由浙江省中药</w:t>
      </w:r>
    </w:p>
    <w:p>
      <w:pPr>
        <w:ind w:left="36" w:right="29" w:hanging="8"/>
        <w:spacing w:before="299" w:line="411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材产业协会发文，对浙江省内中药材行业专家进行意见征求，未收集</w:t>
      </w:r>
      <w:r>
        <w:rPr>
          <w:rFonts w:ascii="FangSong_GB2312" w:hAnsi="FangSong_GB2312" w:eastAsia="FangSong_GB2312" w:cs="FangSong_GB2312"/>
          <w:sz w:val="28"/>
          <w:szCs w:val="28"/>
          <w:spacing w:val="1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到相关意见。</w:t>
      </w:r>
    </w:p>
    <w:p>
      <w:pPr>
        <w:ind w:left="29" w:right="29" w:firstLine="642"/>
        <w:spacing w:before="1" w:line="313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4"/>
        </w:rPr>
        <w:t>2025年</w:t>
      </w:r>
      <w:r>
        <w:rPr>
          <w:rFonts w:ascii="FangSong_GB2312" w:hAnsi="FangSong_GB2312" w:eastAsia="FangSong_GB2312" w:cs="FangSong_GB2312"/>
          <w:sz w:val="28"/>
          <w:szCs w:val="28"/>
          <w:spacing w:val="-4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4"/>
        </w:rPr>
        <w:t>5</w:t>
      </w:r>
      <w:r>
        <w:rPr>
          <w:rFonts w:ascii="FangSong_GB2312" w:hAnsi="FangSong_GB2312" w:eastAsia="FangSong_GB2312" w:cs="FangSong_GB2312"/>
          <w:sz w:val="28"/>
          <w:szCs w:val="28"/>
          <w:spacing w:val="-4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4"/>
        </w:rPr>
        <w:t>月，专委会召开标准评审会，对《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>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4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>山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茱萸》草案进行评审，形成意见</w:t>
      </w:r>
      <w:r>
        <w:rPr>
          <w:rFonts w:ascii="FangSong_GB2312" w:hAnsi="FangSong_GB2312" w:eastAsia="FangSong_GB2312" w:cs="FangSong_GB2312"/>
          <w:sz w:val="28"/>
          <w:szCs w:val="28"/>
          <w:spacing w:val="-5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4</w:t>
      </w:r>
      <w:r>
        <w:rPr>
          <w:rFonts w:ascii="FangSong_GB2312" w:hAnsi="FangSong_GB2312" w:eastAsia="FangSong_GB2312" w:cs="FangSong_GB2312"/>
          <w:sz w:val="28"/>
          <w:szCs w:val="28"/>
          <w:spacing w:val="-5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条。</w:t>
      </w:r>
    </w:p>
    <w:p>
      <w:pPr>
        <w:pStyle w:val="BodyText"/>
        <w:spacing w:line="271" w:lineRule="auto"/>
        <w:rPr/>
      </w:pPr>
      <w:r/>
    </w:p>
    <w:p>
      <w:pPr>
        <w:ind w:left="29"/>
        <w:spacing w:before="92" w:line="222" w:lineRule="auto"/>
        <w:outlineLvl w:val="0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1"/>
        </w:rPr>
        <w:t>二、与我国法律法规和其他标准的关系</w:t>
      </w:r>
    </w:p>
    <w:p>
      <w:pPr>
        <w:ind w:left="682"/>
        <w:spacing w:before="192" w:line="216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3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、食品安全国家标准</w:t>
      </w:r>
    </w:p>
    <w:p>
      <w:pPr>
        <w:ind w:left="659"/>
        <w:spacing w:before="235" w:line="214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GB 2762   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食品安全国家标准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食品中污染物限量</w:t>
      </w:r>
    </w:p>
    <w:p>
      <w:pPr>
        <w:ind w:left="659"/>
        <w:spacing w:before="235" w:line="214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GB 2763    </w:t>
      </w:r>
      <w:r>
        <w:rPr>
          <w:rFonts w:ascii="FangSong_GB2312" w:hAnsi="FangSong_GB2312" w:eastAsia="FangSong_GB2312" w:cs="FangSong_GB2312"/>
          <w:sz w:val="28"/>
          <w:szCs w:val="28"/>
        </w:rPr>
        <w:t>食品安全国家标准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食品中农药最大残留限量</w:t>
      </w:r>
    </w:p>
    <w:p>
      <w:pPr>
        <w:ind w:left="659"/>
        <w:spacing w:before="234" w:line="214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GB 5009.3    </w:t>
      </w:r>
      <w:r>
        <w:rPr>
          <w:rFonts w:ascii="FangSong_GB2312" w:hAnsi="FangSong_GB2312" w:eastAsia="FangSong_GB2312" w:cs="FangSong_GB2312"/>
          <w:sz w:val="28"/>
          <w:szCs w:val="28"/>
        </w:rPr>
        <w:t>食品安全国家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食品中水分的测定</w:t>
      </w:r>
    </w:p>
    <w:p>
      <w:pPr>
        <w:ind w:left="659"/>
        <w:spacing w:before="238" w:line="214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GB 5009.4    </w:t>
      </w:r>
      <w:r>
        <w:rPr>
          <w:rFonts w:ascii="FangSong_GB2312" w:hAnsi="FangSong_GB2312" w:eastAsia="FangSong_GB2312" w:cs="FangSong_GB2312"/>
          <w:sz w:val="28"/>
          <w:szCs w:val="28"/>
        </w:rPr>
        <w:t>食品安全国家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食品中灰分的测定</w:t>
      </w:r>
    </w:p>
    <w:p>
      <w:pPr>
        <w:spacing w:line="214" w:lineRule="auto"/>
        <w:sectPr>
          <w:footerReference w:type="default" r:id="rId66"/>
          <w:pgSz w:w="11906" w:h="16839"/>
          <w:pgMar w:top="400" w:right="1770" w:bottom="1378" w:left="1785" w:header="0" w:footer="1212" w:gutter="0"/>
        </w:sectPr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659"/>
        <w:spacing w:before="91" w:line="214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GB 5009.11   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食品安全国家标准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食品中总砷及无机砷的测定</w:t>
      </w:r>
    </w:p>
    <w:p>
      <w:pPr>
        <w:ind w:left="659"/>
        <w:spacing w:before="234" w:line="214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GB 5009.12   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食品安全国家标准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食品中铅的测定</w:t>
      </w:r>
    </w:p>
    <w:p>
      <w:pPr>
        <w:ind w:left="659"/>
        <w:spacing w:before="234" w:line="214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GB 5009.15   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食品安全国家标准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食品中镉的测定</w:t>
      </w:r>
    </w:p>
    <w:p>
      <w:pPr>
        <w:ind w:left="659"/>
        <w:spacing w:before="237" w:line="214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GB 5009.17    </w:t>
      </w:r>
      <w:r>
        <w:rPr>
          <w:rFonts w:ascii="FangSong_GB2312" w:hAnsi="FangSong_GB2312" w:eastAsia="FangSong_GB2312" w:cs="FangSong_GB2312"/>
          <w:sz w:val="28"/>
          <w:szCs w:val="28"/>
        </w:rPr>
        <w:t>食品安全国家标准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食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品中总汞及有机汞的测定</w:t>
      </w:r>
    </w:p>
    <w:p>
      <w:pPr>
        <w:ind w:left="659"/>
        <w:spacing w:before="234" w:line="214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GB 5749</w:t>
      </w:r>
      <w:r>
        <w:rPr>
          <w:rFonts w:ascii="Times New Roman" w:hAnsi="Times New Roman" w:eastAsia="Times New Roman" w:cs="Times New Roman"/>
          <w:sz w:val="28"/>
          <w:szCs w:val="28"/>
          <w:spacing w:val="9"/>
        </w:rPr>
        <w:t xml:space="preserve">   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生活饮用水卫生标准</w:t>
      </w:r>
    </w:p>
    <w:p>
      <w:pPr>
        <w:ind w:left="659"/>
        <w:spacing w:before="235" w:line="214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GB 7718   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食品安全国家标准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预包装食品标签通则</w:t>
      </w:r>
    </w:p>
    <w:p>
      <w:pPr>
        <w:ind w:left="659"/>
        <w:spacing w:before="236" w:line="216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GB</w:t>
      </w:r>
      <w:r>
        <w:rPr>
          <w:rFonts w:ascii="Times New Roman" w:hAnsi="Times New Roman" w:eastAsia="Times New Roman" w:cs="Times New Roman"/>
          <w:sz w:val="28"/>
          <w:szCs w:val="28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14881 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食品安全国家标准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食品生产通用卫生规范</w:t>
      </w:r>
    </w:p>
    <w:p>
      <w:pPr>
        <w:ind w:left="579"/>
        <w:spacing w:before="232" w:line="216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3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、食品安全地方标准</w:t>
      </w:r>
    </w:p>
    <w:p>
      <w:pPr>
        <w:ind w:right="42"/>
        <w:spacing w:before="232" w:line="214" w:lineRule="auto"/>
        <w:jc w:val="right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陕西省《食品安全地方标准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佛坪山茱萸》（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DBS61/0025-2023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）</w:t>
      </w:r>
    </w:p>
    <w:p>
      <w:pPr>
        <w:ind w:left="599"/>
        <w:spacing w:before="237" w:line="214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河南省《食品安全地方标准</w:t>
      </w:r>
      <w:r>
        <w:rPr>
          <w:rFonts w:ascii="FangSong_GB2312" w:hAnsi="FangSong_GB2312" w:eastAsia="FangSong_GB2312" w:cs="FangSong_GB2312"/>
          <w:sz w:val="28"/>
          <w:szCs w:val="28"/>
          <w:spacing w:val="5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山茱萸》（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DBS41/014-2023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）</w:t>
      </w:r>
    </w:p>
    <w:p>
      <w:pPr>
        <w:ind w:left="584"/>
        <w:spacing w:before="235" w:line="216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2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spacing w:val="-3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2"/>
        </w:rPr>
        <w:t>、其他</w:t>
      </w:r>
    </w:p>
    <w:p>
      <w:pPr>
        <w:ind w:left="650"/>
        <w:spacing w:before="231" w:line="214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</w:rPr>
        <w:t>《中华人民共和国药典》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z w:val="28"/>
          <w:szCs w:val="28"/>
        </w:rPr>
        <w:t>2020 </w:t>
      </w:r>
      <w:r>
        <w:rPr>
          <w:rFonts w:ascii="FangSong_GB2312" w:hAnsi="FangSong_GB2312" w:eastAsia="FangSong_GB2312" w:cs="FangSong_GB2312"/>
          <w:sz w:val="28"/>
          <w:szCs w:val="28"/>
        </w:rPr>
        <w:t>年版）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一部</w:t>
      </w:r>
    </w:p>
    <w:p>
      <w:pPr>
        <w:ind w:left="33" w:right="13" w:firstLine="616"/>
        <w:spacing w:before="238" w:line="291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6"/>
        </w:rPr>
        <w:t>《关于对党参等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9 </w:t>
      </w:r>
      <w:r>
        <w:rPr>
          <w:rFonts w:ascii="FangSong_GB2312" w:hAnsi="FangSong_GB2312" w:eastAsia="FangSong_GB2312" w:cs="FangSong_GB2312"/>
          <w:sz w:val="28"/>
          <w:szCs w:val="28"/>
          <w:spacing w:val="6"/>
        </w:rPr>
        <w:t>种物质开展按照传统既是食品又是中药材的</w:t>
      </w:r>
      <w:r>
        <w:rPr>
          <w:rFonts w:ascii="FangSong_GB2312" w:hAnsi="FangSong_GB2312" w:eastAsia="FangSong_GB2312" w:cs="FangSong_GB2312"/>
          <w:sz w:val="28"/>
          <w:szCs w:val="28"/>
          <w:spacing w:val="1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物质管理试点工作的通知》（国卫食品函〔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2019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〕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311</w:t>
      </w:r>
      <w:r>
        <w:rPr>
          <w:rFonts w:ascii="Times New Roman" w:hAnsi="Times New Roman" w:eastAsia="Times New Roman" w:cs="Times New Roman"/>
          <w:sz w:val="28"/>
          <w:szCs w:val="28"/>
          <w:spacing w:val="32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号）</w:t>
      </w:r>
    </w:p>
    <w:p>
      <w:pPr>
        <w:ind w:left="33" w:right="13" w:firstLine="540"/>
        <w:spacing w:before="235" w:line="369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5"/>
        </w:rPr>
        <w:t>《关于党参等</w:t>
      </w:r>
      <w:r>
        <w:rPr>
          <w:rFonts w:ascii="FangSong_GB2312" w:hAnsi="FangSong_GB2312" w:eastAsia="FangSong_GB2312" w:cs="FangSong_GB2312"/>
          <w:sz w:val="28"/>
          <w:szCs w:val="28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5"/>
        </w:rPr>
        <w:t>9</w:t>
      </w:r>
      <w:r>
        <w:rPr>
          <w:rFonts w:ascii="Times New Roman" w:hAnsi="Times New Roman" w:eastAsia="Times New Roman" w:cs="Times New Roman"/>
          <w:sz w:val="28"/>
          <w:szCs w:val="28"/>
          <w:spacing w:val="23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5"/>
        </w:rPr>
        <w:t>种新增按照传统既是食品又是中药材的物质公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5"/>
        </w:rPr>
        <w:t>告》（</w:t>
      </w:r>
      <w:r>
        <w:rPr>
          <w:rFonts w:ascii="Times New Roman" w:hAnsi="Times New Roman" w:eastAsia="Times New Roman" w:cs="Times New Roman"/>
          <w:sz w:val="28"/>
          <w:szCs w:val="28"/>
          <w:spacing w:val="-25"/>
        </w:rPr>
        <w:t>2023</w:t>
      </w:r>
      <w:r>
        <w:rPr>
          <w:rFonts w:ascii="Times New Roman" w:hAnsi="Times New Roman" w:eastAsia="Times New Roman" w:cs="Times New Roman"/>
          <w:sz w:val="28"/>
          <w:szCs w:val="28"/>
          <w:spacing w:val="2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5"/>
        </w:rPr>
        <w:t>年第</w:t>
      </w:r>
      <w:r>
        <w:rPr>
          <w:rFonts w:ascii="FangSong_GB2312" w:hAnsi="FangSong_GB2312" w:eastAsia="FangSong_GB2312" w:cs="FangSong_GB2312"/>
          <w:sz w:val="28"/>
          <w:szCs w:val="28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5"/>
        </w:rPr>
        <w:t>9</w:t>
      </w:r>
      <w:r>
        <w:rPr>
          <w:rFonts w:ascii="Times New Roman" w:hAnsi="Times New Roman" w:eastAsia="Times New Roman" w:cs="Times New Roman"/>
          <w:sz w:val="28"/>
          <w:szCs w:val="28"/>
          <w:spacing w:val="2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5"/>
        </w:rPr>
        <w:t>号）。</w:t>
      </w:r>
    </w:p>
    <w:p>
      <w:pPr>
        <w:ind w:left="30"/>
        <w:spacing w:line="222" w:lineRule="auto"/>
        <w:outlineLvl w:val="0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2"/>
        </w:rPr>
        <w:t>三、标准的制定原则</w:t>
      </w:r>
    </w:p>
    <w:p>
      <w:pPr>
        <w:ind w:left="573"/>
        <w:spacing w:before="224" w:line="217" w:lineRule="auto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</w:rPr>
        <w:t>（一）以保护消费者健康为首要原则。</w:t>
      </w:r>
    </w:p>
    <w:p>
      <w:pPr>
        <w:ind w:left="573"/>
        <w:spacing w:before="233" w:line="216" w:lineRule="auto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</w:rPr>
        <w:t>（二）科学性原则。</w:t>
      </w:r>
    </w:p>
    <w:p>
      <w:pPr>
        <w:ind w:left="573"/>
        <w:spacing w:before="231" w:line="215" w:lineRule="auto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-4"/>
        </w:rPr>
        <w:t>（</w:t>
      </w:r>
      <w:r>
        <w:rPr>
          <w:rFonts w:ascii="KaiTi" w:hAnsi="KaiTi" w:eastAsia="KaiTi" w:cs="KaiTi"/>
          <w:sz w:val="28"/>
          <w:szCs w:val="28"/>
          <w:spacing w:val="-68"/>
        </w:rPr>
        <w:t xml:space="preserve"> </w:t>
      </w:r>
      <w:r>
        <w:rPr>
          <w:rFonts w:ascii="KaiTi" w:hAnsi="KaiTi" w:eastAsia="KaiTi" w:cs="KaiTi"/>
          <w:sz w:val="28"/>
          <w:szCs w:val="28"/>
          <w:spacing w:val="-4"/>
        </w:rPr>
        <w:t>三）促进铁皮石斛产业健康发展原则。</w:t>
      </w:r>
    </w:p>
    <w:p>
      <w:pPr>
        <w:ind w:left="573"/>
        <w:spacing w:before="233" w:line="215" w:lineRule="auto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-8"/>
        </w:rPr>
        <w:t>（</w:t>
      </w:r>
      <w:r>
        <w:rPr>
          <w:rFonts w:ascii="KaiTi" w:hAnsi="KaiTi" w:eastAsia="KaiTi" w:cs="KaiTi"/>
          <w:sz w:val="28"/>
          <w:szCs w:val="28"/>
          <w:spacing w:val="-62"/>
        </w:rPr>
        <w:t xml:space="preserve"> </w:t>
      </w:r>
      <w:r>
        <w:rPr>
          <w:rFonts w:ascii="KaiTi" w:hAnsi="KaiTi" w:eastAsia="KaiTi" w:cs="KaiTi"/>
          <w:sz w:val="28"/>
          <w:szCs w:val="28"/>
          <w:spacing w:val="-8"/>
        </w:rPr>
        <w:t>四）可操作性原则。</w:t>
      </w:r>
    </w:p>
    <w:p>
      <w:pPr>
        <w:ind w:left="573"/>
        <w:spacing w:before="235" w:line="218" w:lineRule="auto"/>
        <w:rPr>
          <w:rFonts w:ascii="KaiTi" w:hAnsi="KaiTi" w:eastAsia="KaiTi" w:cs="KaiTi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-1"/>
        </w:rPr>
        <w:t>（五）公开透明原则。</w:t>
      </w:r>
    </w:p>
    <w:p>
      <w:pPr>
        <w:ind w:left="41"/>
        <w:spacing w:before="259" w:line="222" w:lineRule="auto"/>
        <w:outlineLvl w:val="0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3"/>
        </w:rPr>
        <w:t>四、确定各项技术内容的依据</w:t>
      </w:r>
    </w:p>
    <w:p>
      <w:pPr>
        <w:ind w:left="46"/>
        <w:spacing w:before="191" w:line="229" w:lineRule="auto"/>
        <w:outlineLvl w:val="1"/>
        <w:rPr>
          <w:rFonts w:ascii="KaiTi" w:hAnsi="KaiTi" w:eastAsia="KaiTi" w:cs="KaiTi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1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KaiTi" w:hAnsi="KaiTi" w:eastAsia="KaiTi" w:cs="KaiTi"/>
          <w:sz w:val="28"/>
          <w:szCs w:val="28"/>
          <w:spacing w:val="-11"/>
        </w:rPr>
        <w:t>、适用范围</w:t>
      </w:r>
    </w:p>
    <w:p>
      <w:pPr>
        <w:spacing w:line="229" w:lineRule="auto"/>
        <w:sectPr>
          <w:footerReference w:type="default" r:id="rId67"/>
          <w:pgSz w:w="11906" w:h="16839"/>
          <w:pgMar w:top="400" w:right="1785" w:bottom="1376" w:left="1785" w:header="0" w:footer="1212" w:gutter="0"/>
        </w:sectPr>
        <w:rPr>
          <w:rFonts w:ascii="KaiTi" w:hAnsi="KaiTi" w:eastAsia="KaiTi" w:cs="KaiTi"/>
          <w:sz w:val="28"/>
          <w:szCs w:val="28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661"/>
        <w:spacing w:before="91" w:line="214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本文件适用于人工栽培的山茱萸。</w:t>
      </w:r>
    </w:p>
    <w:p>
      <w:pPr>
        <w:ind w:left="18" w:right="74" w:firstLine="643"/>
        <w:spacing w:before="235" w:line="291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6"/>
        </w:rPr>
        <w:t>按照国家卫生健康委发布的《关于对党参等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9 </w:t>
      </w:r>
      <w:r>
        <w:rPr>
          <w:rFonts w:ascii="FangSong_GB2312" w:hAnsi="FangSong_GB2312" w:eastAsia="FangSong_GB2312" w:cs="FangSong_GB2312"/>
          <w:sz w:val="28"/>
          <w:szCs w:val="28"/>
          <w:spacing w:val="6"/>
        </w:rPr>
        <w:t>种物质开展按照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传统既是食品又是中药材的物质管理试点工作的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通知》中的规定，将</w:t>
      </w:r>
    </w:p>
    <w:p>
      <w:pPr>
        <w:ind w:left="25"/>
        <w:spacing w:before="237" w:line="21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本标准范围限定为：人工栽培的山茱萸。</w:t>
      </w:r>
    </w:p>
    <w:p>
      <w:pPr>
        <w:ind w:left="20"/>
        <w:spacing w:before="232" w:line="231" w:lineRule="auto"/>
        <w:outlineLvl w:val="1"/>
        <w:rPr>
          <w:rFonts w:ascii="KaiTi" w:hAnsi="KaiTi" w:eastAsia="KaiTi" w:cs="KaiTi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41"/>
        </w:rPr>
        <w:t xml:space="preserve"> </w:t>
      </w:r>
      <w:r>
        <w:rPr>
          <w:rFonts w:ascii="KaiTi" w:hAnsi="KaiTi" w:eastAsia="KaiTi" w:cs="KaiTi"/>
          <w:sz w:val="28"/>
          <w:szCs w:val="28"/>
          <w:spacing w:val="-5"/>
        </w:rPr>
        <w:t>、术语和定义</w:t>
      </w:r>
    </w:p>
    <w:p>
      <w:pPr>
        <w:ind w:left="656"/>
        <w:spacing w:before="210" w:line="214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2.1</w:t>
      </w:r>
      <w:r>
        <w:rPr>
          <w:rFonts w:ascii="Times New Roman" w:hAnsi="Times New Roman" w:eastAsia="Times New Roman" w:cs="Times New Roman"/>
          <w:sz w:val="28"/>
          <w:szCs w:val="28"/>
          <w:spacing w:val="48"/>
          <w:w w:val="10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9"/>
        </w:rPr>
        <w:t>山茱萸</w:t>
      </w:r>
    </w:p>
    <w:p>
      <w:pPr>
        <w:ind w:left="699"/>
        <w:spacing w:before="238" w:line="214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以山茱萸科植物山茱萸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Cornus officinalis</w:t>
      </w:r>
      <w:r>
        <w:rPr>
          <w:rFonts w:ascii="Times New Roman" w:hAnsi="Times New Roman" w:eastAsia="Times New Roman" w:cs="Times New Roman"/>
          <w:sz w:val="28"/>
          <w:szCs w:val="28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Sieb.et Z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ucc.</w:t>
      </w:r>
      <w:r>
        <w:rPr>
          <w:rFonts w:ascii="Times New Roman" w:hAnsi="Times New Roman" w:eastAsia="Times New Roman" w:cs="Times New Roman"/>
          <w:sz w:val="28"/>
          <w:szCs w:val="28"/>
          <w:spacing w:val="-3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的成熟果</w:t>
      </w:r>
    </w:p>
    <w:p>
      <w:pPr>
        <w:ind w:left="33" w:right="74" w:firstLine="24"/>
        <w:spacing w:before="235" w:line="368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肉鲜品为原料，通过去杂、去叶、除根、淘洗、干燥或不干燥等工序</w:t>
      </w:r>
      <w:r>
        <w:rPr>
          <w:rFonts w:ascii="FangSong_GB2312" w:hAnsi="FangSong_GB2312" w:eastAsia="FangSong_GB2312" w:cs="FangSong_GB2312"/>
          <w:sz w:val="28"/>
          <w:szCs w:val="28"/>
          <w:spacing w:val="1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制成，供直接食用或作食品加工原料。</w:t>
      </w:r>
    </w:p>
    <w:p>
      <w:pPr>
        <w:ind w:left="25"/>
        <w:spacing w:before="2" w:line="229" w:lineRule="auto"/>
        <w:rPr>
          <w:rFonts w:ascii="KaiTi" w:hAnsi="KaiTi" w:eastAsia="KaiTi" w:cs="KaiTi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spacing w:val="-40"/>
        </w:rPr>
        <w:t xml:space="preserve"> </w:t>
      </w:r>
      <w:r>
        <w:rPr>
          <w:rFonts w:ascii="KaiTi" w:hAnsi="KaiTi" w:eastAsia="KaiTi" w:cs="KaiTi"/>
          <w:sz w:val="28"/>
          <w:szCs w:val="28"/>
          <w:spacing w:val="-7"/>
        </w:rPr>
        <w:t>、技术要求</w:t>
      </w:r>
    </w:p>
    <w:p>
      <w:pPr>
        <w:pStyle w:val="BodyText"/>
        <w:spacing w:line="319" w:lineRule="auto"/>
        <w:rPr/>
      </w:pPr>
      <w:r/>
    </w:p>
    <w:p>
      <w:pPr>
        <w:ind w:left="72" w:right="75" w:firstLine="594"/>
        <w:spacing w:before="92" w:line="294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3"/>
        </w:rPr>
        <w:t>对原料、感官要求、理化指标、污染物及农药残留限量等作出</w:t>
      </w:r>
      <w:r>
        <w:rPr>
          <w:rFonts w:ascii="FangSong_GB2312" w:hAnsi="FangSong_GB2312" w:eastAsia="FangSong_GB2312" w:cs="FangSong_GB2312"/>
          <w:sz w:val="28"/>
          <w:szCs w:val="28"/>
          <w:spacing w:val="1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>了规定。</w:t>
      </w:r>
    </w:p>
    <w:p>
      <w:pPr>
        <w:ind w:left="661"/>
        <w:spacing w:before="229" w:line="214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3.1</w:t>
      </w:r>
      <w:r>
        <w:rPr>
          <w:rFonts w:ascii="Times New Roman" w:hAnsi="Times New Roman" w:eastAsia="Times New Roman" w:cs="Times New Roman"/>
          <w:sz w:val="28"/>
          <w:szCs w:val="28"/>
          <w:spacing w:val="1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原料要求</w:t>
      </w:r>
    </w:p>
    <w:p>
      <w:pPr>
        <w:spacing w:before="234" w:line="214" w:lineRule="auto"/>
        <w:outlineLvl w:val="1"/>
        <w:jc w:val="right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3.1.1</w:t>
      </w:r>
      <w:r>
        <w:rPr>
          <w:rFonts w:ascii="Times New Roman" w:hAnsi="Times New Roman" w:eastAsia="Times New Roman" w:cs="Times New Roman"/>
          <w:sz w:val="28"/>
          <w:szCs w:val="28"/>
          <w:spacing w:val="31"/>
        </w:rPr>
        <w:t xml:space="preserve">  </w:t>
      </w:r>
      <w:r>
        <w:rPr>
          <w:rFonts w:ascii="FangSong_GB2312" w:hAnsi="FangSong_GB2312" w:eastAsia="FangSong_GB2312" w:cs="FangSong_GB2312"/>
          <w:sz w:val="28"/>
          <w:szCs w:val="28"/>
          <w:spacing w:val="-10"/>
        </w:rPr>
        <w:t>山茱萸鲜品应具有其特有的形态特征及固有的色、香、味，</w:t>
      </w:r>
    </w:p>
    <w:p>
      <w:pPr>
        <w:ind w:left="36" w:right="74" w:hanging="7"/>
        <w:spacing w:before="236" w:line="369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新鲜、无腐烂、无霉变、无虫蛀、无异味，符合相应的食品标准和有</w:t>
      </w:r>
      <w:r>
        <w:rPr>
          <w:rFonts w:ascii="FangSong_GB2312" w:hAnsi="FangSong_GB2312" w:eastAsia="FangSong_GB2312" w:cs="FangSong_GB2312"/>
          <w:sz w:val="28"/>
          <w:szCs w:val="28"/>
          <w:spacing w:val="1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关规定。</w:t>
      </w:r>
    </w:p>
    <w:p>
      <w:pPr>
        <w:ind w:left="661"/>
        <w:spacing w:before="1" w:line="216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3.1.2 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生产加工用水应符合</w:t>
      </w:r>
      <w:r>
        <w:rPr>
          <w:rFonts w:ascii="FangSong_GB2312" w:hAnsi="FangSong_GB2312" w:eastAsia="FangSong_GB2312" w:cs="FangSong_GB2312"/>
          <w:sz w:val="28"/>
          <w:szCs w:val="28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GB 5749</w:t>
      </w:r>
      <w:r>
        <w:rPr>
          <w:rFonts w:ascii="Times New Roman" w:hAnsi="Times New Roman" w:eastAsia="Times New Roman" w:cs="Times New Roman"/>
          <w:sz w:val="28"/>
          <w:szCs w:val="28"/>
          <w:spacing w:val="3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的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规定。</w:t>
      </w:r>
    </w:p>
    <w:p>
      <w:pPr>
        <w:ind w:left="18"/>
        <w:spacing w:before="232" w:line="224" w:lineRule="auto"/>
        <w:rPr>
          <w:rFonts w:ascii="KaiTi" w:hAnsi="KaiTi" w:eastAsia="KaiTi" w:cs="KaiTi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4</w:t>
      </w:r>
      <w:r>
        <w:rPr>
          <w:rFonts w:ascii="Times New Roman" w:hAnsi="Times New Roman" w:eastAsia="Times New Roman" w:cs="Times New Roman"/>
          <w:sz w:val="28"/>
          <w:szCs w:val="28"/>
          <w:spacing w:val="-39"/>
        </w:rPr>
        <w:t xml:space="preserve"> </w:t>
      </w:r>
      <w:r>
        <w:rPr>
          <w:rFonts w:ascii="KaiTi" w:hAnsi="KaiTi" w:eastAsia="KaiTi" w:cs="KaiTi"/>
          <w:sz w:val="28"/>
          <w:szCs w:val="28"/>
          <w:spacing w:val="-6"/>
        </w:rPr>
        <w:t>、感官要求</w:t>
      </w:r>
    </w:p>
    <w:p>
      <w:pPr>
        <w:ind w:left="17" w:right="74" w:firstLine="678"/>
        <w:spacing w:before="220" w:line="369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14"/>
        </w:rPr>
        <w:t>山茱萸</w:t>
      </w:r>
      <w:r>
        <w:rPr>
          <w:rFonts w:ascii="FangSong_GB2312" w:hAnsi="FangSong_GB2312" w:eastAsia="FangSong_GB2312" w:cs="FangSong_GB2312"/>
          <w:sz w:val="28"/>
          <w:szCs w:val="28"/>
          <w:spacing w:val="-6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4"/>
        </w:rPr>
        <w:t>，为</w:t>
      </w:r>
      <w:r>
        <w:rPr>
          <w:rFonts w:ascii="FangSong_GB2312" w:hAnsi="FangSong_GB2312" w:eastAsia="FangSong_GB2312" w:cs="FangSong_GB2312"/>
          <w:sz w:val="28"/>
          <w:szCs w:val="28"/>
          <w:spacing w:val="-6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4"/>
        </w:rPr>
        <w:t>山茱萸科植物山茱萸（</w:t>
      </w:r>
      <w:r>
        <w:rPr>
          <w:rFonts w:ascii="Times New Roman" w:hAnsi="Times New Roman" w:eastAsia="Times New Roman" w:cs="Times New Roman"/>
          <w:sz w:val="28"/>
          <w:szCs w:val="28"/>
        </w:rPr>
        <w:t>Cornus</w:t>
      </w:r>
      <w:r>
        <w:rPr>
          <w:rFonts w:ascii="Times New Roman" w:hAnsi="Times New Roman" w:eastAsia="Times New Roman" w:cs="Times New Roman"/>
          <w:sz w:val="28"/>
          <w:szCs w:val="28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officinalis</w:t>
      </w:r>
      <w:r>
        <w:rPr>
          <w:rFonts w:ascii="Times New Roman" w:hAnsi="Times New Roman" w:eastAsia="Times New Roman" w:cs="Times New Roman"/>
          <w:sz w:val="28"/>
          <w:szCs w:val="28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Sieb</w:t>
      </w:r>
      <w:r>
        <w:rPr>
          <w:rFonts w:ascii="Times New Roman" w:hAnsi="Times New Roman" w:eastAsia="Times New Roman" w:cs="Times New Roman"/>
          <w:sz w:val="28"/>
          <w:szCs w:val="28"/>
          <w:spacing w:val="14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et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Zucc.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）的干燥成熟果肉。干品呈不规则的片状或囊状，长</w:t>
      </w:r>
      <w:r>
        <w:rPr>
          <w:rFonts w:ascii="FangSong_GB2312" w:hAnsi="FangSong_GB2312" w:eastAsia="FangSong_GB2312" w:cs="FangSong_GB2312"/>
          <w:sz w:val="28"/>
          <w:szCs w:val="28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1-1.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5cm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，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宽</w:t>
      </w:r>
      <w:r>
        <w:rPr>
          <w:rFonts w:ascii="FangSong_GB2312" w:hAnsi="FangSong_GB2312" w:eastAsia="FangSong_GB2312" w:cs="FangSong_GB2312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0. 5-1cm</w:t>
      </w:r>
      <w:r>
        <w:rPr>
          <w:rFonts w:ascii="Times New Roman" w:hAnsi="Times New Roman" w:eastAsia="Times New Roman" w:cs="Times New Roman"/>
          <w:sz w:val="28"/>
          <w:szCs w:val="28"/>
          <w:spacing w:val="-42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。表面紫红色至紫黑色，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皱缩，有光泽。干品呈不规则的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片状或囊状，长</w:t>
      </w:r>
      <w:r>
        <w:rPr>
          <w:rFonts w:ascii="FangSong_GB2312" w:hAnsi="FangSong_GB2312" w:eastAsia="FangSong_GB2312" w:cs="FangSong_GB2312"/>
          <w:sz w:val="28"/>
          <w:szCs w:val="28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1-1.5cm</w:t>
      </w:r>
      <w:r>
        <w:rPr>
          <w:rFonts w:ascii="Times New Roman" w:hAnsi="Times New Roman" w:eastAsia="Times New Roman" w:cs="Times New Roman"/>
          <w:sz w:val="28"/>
          <w:szCs w:val="28"/>
          <w:spacing w:val="-29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，宽</w:t>
      </w:r>
      <w:r>
        <w:rPr>
          <w:rFonts w:ascii="FangSong_GB2312" w:hAnsi="FangSong_GB2312" w:eastAsia="FangSong_GB2312" w:cs="FangSong_GB2312"/>
          <w:sz w:val="28"/>
          <w:szCs w:val="28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0.</w:t>
      </w:r>
      <w:r>
        <w:rPr>
          <w:rFonts w:ascii="Times New Roman" w:hAnsi="Times New Roman" w:eastAsia="Times New Roman" w:cs="Times New Roman"/>
          <w:sz w:val="28"/>
          <w:szCs w:val="28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5-1cm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。质柔软。气微，味酸、涩、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微苦。</w:t>
      </w:r>
    </w:p>
    <w:p>
      <w:pPr>
        <w:ind w:left="618"/>
        <w:spacing w:before="4" w:line="214" w:lineRule="auto"/>
        <w:outlineLvl w:val="2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因此，本标准规定了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“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色泽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”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、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“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滋味、气味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”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和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“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状态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”</w:t>
      </w:r>
      <w:r>
        <w:rPr>
          <w:rFonts w:ascii="Times New Roman" w:hAnsi="Times New Roman" w:eastAsia="Times New Roman" w:cs="Times New Roman"/>
          <w:sz w:val="28"/>
          <w:szCs w:val="28"/>
          <w:spacing w:val="-33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，即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“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表面紫</w:t>
      </w:r>
    </w:p>
    <w:p>
      <w:pPr>
        <w:spacing w:line="214" w:lineRule="auto"/>
        <w:sectPr>
          <w:footerReference w:type="default" r:id="rId68"/>
          <w:pgSz w:w="11906" w:h="16839"/>
          <w:pgMar w:top="400" w:right="1724" w:bottom="1376" w:left="1785" w:header="0" w:footer="1212" w:gutter="0"/>
        </w:sectPr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38" w:right="138" w:hanging="7"/>
        <w:spacing w:before="91" w:line="368" w:lineRule="auto"/>
        <w:jc w:val="both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红色至紫黑色，皱缩，有光泽；气微，味道酸中带涩伴有微苦味；干</w:t>
      </w:r>
      <w:r>
        <w:rPr>
          <w:rFonts w:ascii="FangSong_GB2312" w:hAnsi="FangSong_GB2312" w:eastAsia="FangSong_GB2312" w:cs="FangSong_GB2312"/>
          <w:sz w:val="28"/>
          <w:szCs w:val="28"/>
          <w:spacing w:val="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品呈不规则的片状或囊状，长</w:t>
      </w:r>
      <w:r>
        <w:rPr>
          <w:rFonts w:ascii="FangSong_GB2312" w:hAnsi="FangSong_GB2312" w:eastAsia="FangSong_GB2312" w:cs="FangSong_GB2312"/>
          <w:sz w:val="28"/>
          <w:szCs w:val="28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1-1.5cm</w:t>
      </w:r>
      <w:r>
        <w:rPr>
          <w:rFonts w:ascii="Times New Roman" w:hAnsi="Times New Roman" w:eastAsia="Times New Roman" w:cs="Times New Roman"/>
          <w:sz w:val="28"/>
          <w:szCs w:val="28"/>
          <w:spacing w:val="-3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，宽</w:t>
      </w:r>
      <w:r>
        <w:rPr>
          <w:rFonts w:ascii="FangSong_GB2312" w:hAnsi="FangSong_GB2312" w:eastAsia="FangSong_GB2312" w:cs="FangSong_GB2312"/>
          <w:sz w:val="28"/>
          <w:szCs w:val="28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0. 5-1cm</w:t>
      </w:r>
      <w:r>
        <w:rPr>
          <w:rFonts w:ascii="Times New Roman" w:hAnsi="Times New Roman" w:eastAsia="Times New Roman" w:cs="Times New Roman"/>
          <w:sz w:val="28"/>
          <w:szCs w:val="28"/>
          <w:spacing w:val="-3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，无正常视力可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见的外来异物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”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。</w:t>
      </w:r>
    </w:p>
    <w:p>
      <w:pPr>
        <w:ind w:left="33" w:right="136" w:firstLine="560"/>
        <w:spacing w:before="6" w:line="291" w:lineRule="auto"/>
        <w:outlineLvl w:val="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感官检验方法规定为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“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取适量样品置于洁净白色瓷盘中，在自然</w:t>
      </w:r>
      <w:r>
        <w:rPr>
          <w:rFonts w:ascii="FangSong_GB2312" w:hAnsi="FangSong_GB2312" w:eastAsia="FangSong_GB2312" w:cs="FangSong_GB2312"/>
          <w:sz w:val="28"/>
          <w:szCs w:val="28"/>
          <w:spacing w:val="1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光线下采用鼻嗅、</w:t>
      </w:r>
      <w:r>
        <w:rPr>
          <w:rFonts w:ascii="FangSong_GB2312" w:hAnsi="FangSong_GB2312" w:eastAsia="FangSong_GB2312" w:cs="FangSong_GB2312"/>
          <w:sz w:val="28"/>
          <w:szCs w:val="28"/>
          <w:spacing w:val="-7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目测、</w:t>
      </w:r>
      <w:r>
        <w:rPr>
          <w:rFonts w:ascii="FangSong_GB2312" w:hAnsi="FangSong_GB2312" w:eastAsia="FangSong_GB2312" w:cs="FangSong_GB2312"/>
          <w:sz w:val="28"/>
          <w:szCs w:val="28"/>
          <w:spacing w:val="-80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口尝的方法进行检验。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”</w:t>
      </w:r>
    </w:p>
    <w:p>
      <w:pPr>
        <w:ind w:left="27"/>
        <w:spacing w:before="233" w:line="230" w:lineRule="auto"/>
        <w:outlineLvl w:val="1"/>
        <w:rPr>
          <w:rFonts w:ascii="KaiTi" w:hAnsi="KaiTi" w:eastAsia="KaiTi" w:cs="KaiTi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spacing w:val="-41"/>
        </w:rPr>
        <w:t xml:space="preserve"> </w:t>
      </w:r>
      <w:r>
        <w:rPr>
          <w:rFonts w:ascii="KaiTi" w:hAnsi="KaiTi" w:eastAsia="KaiTi" w:cs="KaiTi"/>
          <w:sz w:val="28"/>
          <w:szCs w:val="28"/>
          <w:spacing w:val="-7"/>
        </w:rPr>
        <w:t>、理化指标</w:t>
      </w:r>
    </w:p>
    <w:p>
      <w:pPr>
        <w:ind w:left="663"/>
        <w:spacing w:before="177" w:line="218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5.1</w:t>
      </w:r>
      <w:r>
        <w:rPr>
          <w:rFonts w:ascii="Times New Roman" w:hAnsi="Times New Roman" w:eastAsia="Times New Roman" w:cs="Times New Roman"/>
          <w:sz w:val="28"/>
          <w:szCs w:val="28"/>
          <w:spacing w:val="3"/>
        </w:rPr>
        <w:t xml:space="preserve"> 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水分</w:t>
      </w:r>
    </w:p>
    <w:p>
      <w:pPr>
        <w:ind w:left="695"/>
        <w:spacing w:before="293" w:line="214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2"/>
        </w:rPr>
        <w:t>因水分属于间接导致食品安全风险的指标，参照《中华人民共</w:t>
      </w:r>
    </w:p>
    <w:p>
      <w:pPr>
        <w:spacing w:before="300" w:line="210" w:lineRule="auto"/>
        <w:jc w:val="right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和国药典》（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2020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年版）</w:t>
      </w:r>
      <w:r>
        <w:rPr>
          <w:rFonts w:ascii="FangSong_GB2312" w:hAnsi="FangSong_GB2312" w:eastAsia="FangSong_GB2312" w:cs="FangSong_GB2312"/>
          <w:sz w:val="28"/>
          <w:szCs w:val="28"/>
          <w:spacing w:val="-3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一部，本标准规定：水分</w:t>
      </w:r>
      <w:r>
        <w:rPr>
          <w:rFonts w:ascii="FangSong_GB2312" w:hAnsi="FangSong_GB2312" w:eastAsia="FangSong_GB2312" w:cs="FangSong_GB2312"/>
          <w:sz w:val="28"/>
          <w:szCs w:val="28"/>
          <w:spacing w:val="-100"/>
          <w:w w:val="86"/>
        </w:rPr>
        <w:t>，（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g/100g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）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≤16.0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。</w:t>
      </w:r>
    </w:p>
    <w:p>
      <w:pPr>
        <w:ind w:left="663"/>
        <w:spacing w:before="305" w:line="214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5.2 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马钱苷和莫诺苷总含量</w:t>
      </w:r>
    </w:p>
    <w:p>
      <w:pPr>
        <w:ind w:left="28" w:right="138" w:firstLine="638"/>
        <w:spacing w:before="298" w:line="313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参照《中华人民共和国药典》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2020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年版</w:t>
      </w:r>
      <w:r>
        <w:rPr>
          <w:rFonts w:ascii="FangSong_GB2312" w:hAnsi="FangSong_GB2312" w:eastAsia="FangSong_GB2312" w:cs="FangSong_GB2312"/>
          <w:sz w:val="28"/>
          <w:szCs w:val="28"/>
        </w:rPr>
        <w:t>）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一部，本标准规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定马钱苷和莫诺苷总含量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≥1.2%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。</w:t>
      </w:r>
    </w:p>
    <w:p>
      <w:pPr>
        <w:ind w:left="663"/>
        <w:spacing w:before="300" w:line="216" w:lineRule="auto"/>
        <w:outlineLvl w:val="1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5.3</w:t>
      </w:r>
      <w:r>
        <w:rPr>
          <w:rFonts w:ascii="Times New Roman" w:hAnsi="Times New Roman" w:eastAsia="Times New Roman" w:cs="Times New Roman"/>
          <w:sz w:val="28"/>
          <w:szCs w:val="28"/>
          <w:spacing w:val="9"/>
        </w:rPr>
        <w:t xml:space="preserve">  </w:t>
      </w: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浸出物含量</w:t>
      </w:r>
    </w:p>
    <w:p>
      <w:pPr>
        <w:ind w:left="28" w:right="138" w:firstLine="638"/>
        <w:spacing w:before="295" w:line="314" w:lineRule="auto"/>
        <w:outlineLvl w:val="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参照《中华人民共和国药典》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2020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年版</w:t>
      </w:r>
      <w:r>
        <w:rPr>
          <w:rFonts w:ascii="FangSong_GB2312" w:hAnsi="FangSong_GB2312" w:eastAsia="FangSong_GB2312" w:cs="FangSong_GB2312"/>
          <w:sz w:val="28"/>
          <w:szCs w:val="28"/>
        </w:rPr>
        <w:t>）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</w:rPr>
        <w:t>一部，本标准规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定浸出物含量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≥50.0%</w:t>
      </w:r>
    </w:p>
    <w:p>
      <w:pPr>
        <w:ind w:left="26"/>
        <w:spacing w:before="331" w:line="226" w:lineRule="auto"/>
        <w:outlineLvl w:val="1"/>
        <w:rPr>
          <w:rFonts w:ascii="KaiTi" w:hAnsi="KaiTi" w:eastAsia="KaiTi" w:cs="KaiTi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6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KaiTi" w:hAnsi="KaiTi" w:eastAsia="KaiTi" w:cs="KaiTi"/>
          <w:sz w:val="28"/>
          <w:szCs w:val="28"/>
          <w:spacing w:val="-9"/>
        </w:rPr>
        <w:t>、污染物</w:t>
      </w:r>
    </w:p>
    <w:p>
      <w:pPr>
        <w:ind w:left="25" w:firstLine="560"/>
        <w:spacing w:before="219" w:line="369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按照《食品安全国家标准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6"/>
        </w:rPr>
        <w:t>食品中多元素的测定》（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GB 500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9.268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）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>或《食品安全国家标准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>食品中铅的测定》（</w:t>
      </w:r>
      <w:r>
        <w:rPr>
          <w:rFonts w:ascii="Times New Roman" w:hAnsi="Times New Roman" w:eastAsia="Times New Roman" w:cs="Times New Roman"/>
          <w:sz w:val="28"/>
          <w:szCs w:val="28"/>
          <w:spacing w:val="-15"/>
        </w:rPr>
        <w:t>GB</w:t>
      </w:r>
      <w:r>
        <w:rPr>
          <w:rFonts w:ascii="Times New Roman" w:hAnsi="Times New Roman" w:eastAsia="Times New Roman" w:cs="Times New Roman"/>
          <w:sz w:val="28"/>
          <w:szCs w:val="28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5"/>
        </w:rPr>
        <w:t>5009.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5"/>
        </w:rPr>
        <w:t>12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>）、《食品安全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 </w:t>
      </w:r>
      <w:r>
        <w:rPr>
          <w:rFonts w:ascii="FangSong_GB2312" w:hAnsi="FangSong_GB2312" w:eastAsia="FangSong_GB2312" w:cs="FangSong_GB2312"/>
          <w:sz w:val="28"/>
          <w:szCs w:val="28"/>
          <w:spacing w:val="-14"/>
        </w:rPr>
        <w:t>国家标准</w:t>
      </w:r>
      <w:r>
        <w:rPr>
          <w:rFonts w:ascii="FangSong_GB2312" w:hAnsi="FangSong_GB2312" w:eastAsia="FangSong_GB2312" w:cs="FangSong_GB2312"/>
          <w:sz w:val="28"/>
          <w:szCs w:val="28"/>
          <w:spacing w:val="-1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4"/>
        </w:rPr>
        <w:t>食品中总砷及无机砷的测定》（</w:t>
      </w:r>
      <w:r>
        <w:rPr>
          <w:rFonts w:ascii="Times New Roman" w:hAnsi="Times New Roman" w:eastAsia="Times New Roman" w:cs="Times New Roman"/>
          <w:sz w:val="28"/>
          <w:szCs w:val="28"/>
          <w:spacing w:val="-14"/>
        </w:rPr>
        <w:t>GB</w:t>
      </w:r>
      <w:r>
        <w:rPr>
          <w:rFonts w:ascii="Times New Roman" w:hAnsi="Times New Roman" w:eastAsia="Times New Roman" w:cs="Times New Roman"/>
          <w:sz w:val="28"/>
          <w:szCs w:val="28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4"/>
        </w:rPr>
        <w:t>5009.11</w:t>
      </w:r>
      <w:r>
        <w:rPr>
          <w:rFonts w:ascii="FangSong_GB2312" w:hAnsi="FangSong_GB2312" w:eastAsia="FangSong_GB2312" w:cs="FangSong_GB2312"/>
          <w:sz w:val="28"/>
          <w:szCs w:val="28"/>
          <w:spacing w:val="-14"/>
        </w:rPr>
        <w:t>）、《食</w:t>
      </w:r>
      <w:r>
        <w:rPr>
          <w:rFonts w:ascii="FangSong_GB2312" w:hAnsi="FangSong_GB2312" w:eastAsia="FangSong_GB2312" w:cs="FangSong_GB2312"/>
          <w:sz w:val="28"/>
          <w:szCs w:val="28"/>
          <w:spacing w:val="-15"/>
        </w:rPr>
        <w:t>品安全国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 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家标准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食品中总汞及有机汞的测定》（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GB 5009.</w:t>
      </w:r>
      <w:r>
        <w:rPr>
          <w:rFonts w:ascii="Times New Roman" w:hAnsi="Times New Roman" w:eastAsia="Times New Roman" w:cs="Times New Roman"/>
          <w:sz w:val="28"/>
          <w:szCs w:val="28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17</w:t>
      </w:r>
      <w:r>
        <w:rPr>
          <w:rFonts w:ascii="FangSong_GB2312" w:hAnsi="FangSong_GB2312" w:eastAsia="FangSong_GB2312" w:cs="FangSong_GB2312"/>
          <w:sz w:val="28"/>
          <w:szCs w:val="28"/>
          <w:spacing w:val="-7"/>
        </w:rPr>
        <w:t>）中的规定检测方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法对山茱萸样品进行检测，具体检测结果见表</w:t>
      </w:r>
      <w:r>
        <w:rPr>
          <w:rFonts w:ascii="FangSong_GB2312" w:hAnsi="FangSong_GB2312" w:eastAsia="FangSong_GB2312" w:cs="FangSong_GB2312"/>
          <w:sz w:val="28"/>
          <w:szCs w:val="28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4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。结合</w:t>
      </w:r>
      <w:r>
        <w:rPr>
          <w:rFonts w:ascii="FangSong_GB2312" w:hAnsi="FangSong_GB2312" w:eastAsia="FangSong_GB2312" w:cs="FangSong_GB2312"/>
          <w:sz w:val="28"/>
          <w:szCs w:val="28"/>
          <w:spacing w:val="-6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2023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年</w:t>
      </w:r>
      <w:r>
        <w:rPr>
          <w:rFonts w:ascii="FangSong_GB2312" w:hAnsi="FangSong_GB2312" w:eastAsia="FangSong_GB2312" w:cs="FangSong_GB2312"/>
          <w:sz w:val="28"/>
          <w:szCs w:val="28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11</w:t>
      </w:r>
      <w:r>
        <w:rPr>
          <w:rFonts w:ascii="Times New Roman" w:hAnsi="Times New Roman" w:eastAsia="Times New Roman" w:cs="Times New Roman"/>
          <w:sz w:val="28"/>
          <w:szCs w:val="28"/>
          <w:spacing w:val="21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月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17</w:t>
      </w:r>
      <w:r>
        <w:rPr>
          <w:rFonts w:ascii="Times New Roman" w:hAnsi="Times New Roman" w:eastAsia="Times New Roman" w:cs="Times New Roman"/>
          <w:sz w:val="28"/>
          <w:szCs w:val="28"/>
          <w:spacing w:val="74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1"/>
        </w:rPr>
        <w:t>日，国家卫生健康委、国家市场监督管理总局发布的《关于党参</w:t>
      </w:r>
      <w:r>
        <w:rPr>
          <w:rFonts w:ascii="FangSong_GB2312" w:hAnsi="FangSong_GB2312" w:eastAsia="FangSong_GB2312" w:cs="FangSong_GB2312"/>
          <w:sz w:val="28"/>
          <w:szCs w:val="28"/>
        </w:rPr>
        <w:t xml:space="preserve"> 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等</w:t>
      </w:r>
      <w:r>
        <w:rPr>
          <w:rFonts w:ascii="FangSong_GB2312" w:hAnsi="FangSong_GB2312" w:eastAsia="FangSong_GB2312" w:cs="FangSong_GB2312"/>
          <w:sz w:val="28"/>
          <w:szCs w:val="28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9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种新增按照传统既是食品又是中药材的物质公告》（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2023 </w:t>
      </w:r>
      <w:r>
        <w:rPr>
          <w:rFonts w:ascii="FangSong_GB2312" w:hAnsi="FangSong_GB2312" w:eastAsia="FangSong_GB2312" w:cs="FangSong_GB2312"/>
          <w:sz w:val="28"/>
          <w:szCs w:val="28"/>
          <w:spacing w:val="-5"/>
        </w:rPr>
        <w:t>年第</w:t>
      </w:r>
      <w:r>
        <w:rPr>
          <w:rFonts w:ascii="FangSong_GB2312" w:hAnsi="FangSong_GB2312" w:eastAsia="FangSong_GB2312" w:cs="FangSong_GB2312"/>
          <w:sz w:val="28"/>
          <w:szCs w:val="28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9</w:t>
      </w:r>
    </w:p>
    <w:p>
      <w:pPr>
        <w:spacing w:line="369" w:lineRule="auto"/>
        <w:sectPr>
          <w:footerReference w:type="default" r:id="rId69"/>
          <w:pgSz w:w="11906" w:h="16839"/>
          <w:pgMar w:top="400" w:right="1660" w:bottom="1378" w:left="1785" w:header="0" w:footer="1212" w:gutter="0"/>
        </w:sectPr>
        <w:rPr>
          <w:rFonts w:ascii="Times New Roman" w:hAnsi="Times New Roman" w:eastAsia="Times New Roman" w:cs="Times New Roman"/>
          <w:sz w:val="28"/>
          <w:szCs w:val="28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321" w:right="73" w:firstLine="20"/>
        <w:spacing w:before="91" w:line="35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7"/>
        </w:rPr>
        <w:t>号）中的规定，同时结合检测结果，将污染物指标限定为：铅</w:t>
      </w:r>
      <w:r>
        <w:rPr>
          <w:rFonts w:ascii="Times New Roman" w:hAnsi="Times New Roman" w:eastAsia="Times New Roman" w:cs="Times New Roman"/>
          <w:sz w:val="28"/>
          <w:szCs w:val="28"/>
          <w:spacing w:val="7"/>
        </w:rPr>
        <w:t>≤1.0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mg/kg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、总砷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≤0.5 mg/kg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、总汞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≤0.1 mg/kg</w:t>
      </w:r>
      <w:r>
        <w:rPr>
          <w:rFonts w:ascii="Times New Roman" w:hAnsi="Times New Roman" w:eastAsia="Times New Roman" w:cs="Times New Roman"/>
          <w:sz w:val="28"/>
          <w:szCs w:val="28"/>
          <w:spacing w:val="-38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、镉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≤0.1 mg/kg</w:t>
      </w: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。</w:t>
      </w:r>
    </w:p>
    <w:p>
      <w:pPr>
        <w:ind w:left="2249"/>
        <w:spacing w:line="213" w:lineRule="auto"/>
        <w:rPr>
          <w:rFonts w:ascii="FangSong_GB2312" w:hAnsi="FangSong_GB2312" w:eastAsia="FangSong_GB2312" w:cs="FangSong_GB2312"/>
          <w:sz w:val="24"/>
          <w:szCs w:val="24"/>
        </w:rPr>
      </w:pPr>
      <w:r>
        <w:pict>
          <v:shape id="_x0000_s12" style="position:absolute;margin-left:6.81pt;margin-top:15.0856pt;mso-position-vertical-relative:text;mso-position-horizontal-relative:text;width:428.35pt;height:0.5pt;z-index:251777024;" filled="false" strokecolor="#000000" strokeweight="0.48pt" coordsize="8567,10" coordorigin="0,0" path="m0,4l8566,4e">
            <v:stroke joinstyle="bevel" miterlimit="2"/>
          </v:shape>
        </w:pict>
      </w:r>
      <w:r>
        <w:rPr>
          <w:rFonts w:ascii="FangSong_GB2312" w:hAnsi="FangSong_GB2312" w:eastAsia="FangSong_GB2312" w:cs="FangSong_GB2312"/>
          <w:sz w:val="24"/>
          <w:szCs w:val="24"/>
          <w:spacing w:val="-2"/>
        </w:rPr>
        <w:t>表</w:t>
      </w:r>
      <w:r>
        <w:rPr>
          <w:rFonts w:ascii="FangSong_GB2312" w:hAnsi="FangSong_GB2312" w:eastAsia="FangSong_GB2312" w:cs="FangSong_GB2312"/>
          <w:sz w:val="24"/>
          <w:szCs w:val="24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 2021-2022 </w:t>
      </w:r>
      <w:r>
        <w:rPr>
          <w:rFonts w:ascii="FangSong_GB2312" w:hAnsi="FangSong_GB2312" w:eastAsia="FangSong_GB2312" w:cs="FangSong_GB2312"/>
          <w:sz w:val="24"/>
          <w:szCs w:val="24"/>
          <w:spacing w:val="-2"/>
        </w:rPr>
        <w:t>年山茱萸中重金属检测结果</w:t>
      </w:r>
    </w:p>
    <w:p>
      <w:pPr>
        <w:spacing w:line="32" w:lineRule="exact"/>
        <w:rPr/>
      </w:pPr>
      <w:r/>
    </w:p>
    <w:p>
      <w:pPr>
        <w:spacing w:line="32" w:lineRule="exact"/>
        <w:sectPr>
          <w:footerReference w:type="default" r:id="rId70"/>
          <w:pgSz w:w="11906" w:h="16839"/>
          <w:pgMar w:top="400" w:right="1727" w:bottom="1376" w:left="1480" w:header="0" w:footer="1212" w:gutter="0"/>
          <w:cols w:equalWidth="0" w:num="1">
            <w:col w:w="8699" w:space="0"/>
          </w:cols>
        </w:sectPr>
        <w:rPr/>
      </w:pPr>
    </w:p>
    <w:p>
      <w:pPr>
        <w:ind w:left="252"/>
        <w:spacing w:before="208" w:line="217" w:lineRule="auto"/>
        <w:rPr>
          <w:rFonts w:ascii="FangSong_GB2312" w:hAnsi="FangSong_GB2312" w:eastAsia="FangSong_GB2312" w:cs="FangSong_GB2312"/>
          <w:sz w:val="24"/>
          <w:szCs w:val="24"/>
        </w:rPr>
      </w:pPr>
      <w:r>
        <w:rPr>
          <w:rFonts w:ascii="FangSong_GB2312" w:hAnsi="FangSong_GB2312" w:eastAsia="FangSong_GB2312" w:cs="FangSong_GB2312"/>
          <w:sz w:val="24"/>
          <w:szCs w:val="24"/>
          <w:spacing w:val="-7"/>
        </w:rPr>
        <w:t>项目</w:t>
      </w:r>
    </w:p>
    <w:p>
      <w:pPr>
        <w:spacing w:line="193" w:lineRule="exact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5" w:line="214" w:lineRule="auto"/>
        <w:rPr>
          <w:rFonts w:ascii="FangSong_GB2312" w:hAnsi="FangSong_GB2312" w:eastAsia="FangSong_GB2312" w:cs="FangSong_GB2312"/>
          <w:sz w:val="24"/>
          <w:szCs w:val="24"/>
        </w:rPr>
      </w:pPr>
      <w:r>
        <w:rPr>
          <w:rFonts w:ascii="FangSong_GB2312" w:hAnsi="FangSong_GB2312" w:eastAsia="FangSong_GB2312" w:cs="FangSong_GB2312"/>
          <w:sz w:val="24"/>
          <w:szCs w:val="24"/>
          <w:spacing w:val="-1"/>
        </w:rPr>
        <w:t>样品数</w:t>
      </w:r>
    </w:p>
    <w:p>
      <w:pPr>
        <w:ind w:left="3"/>
        <w:spacing w:before="42" w:line="21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6"/>
        </w:rPr>
        <w:t>(</w:t>
      </w:r>
      <w:r>
        <w:rPr>
          <w:rFonts w:ascii="FangSong_GB2312" w:hAnsi="FangSong_GB2312" w:eastAsia="FangSong_GB2312" w:cs="FangSong_GB2312"/>
          <w:sz w:val="24"/>
          <w:szCs w:val="24"/>
          <w:spacing w:val="-6"/>
        </w:rPr>
        <w:t>份</w:t>
      </w:r>
      <w:r>
        <w:rPr>
          <w:rFonts w:ascii="Calibri" w:hAnsi="Calibri" w:eastAsia="Calibri" w:cs="Calibri"/>
          <w:sz w:val="24"/>
          <w:szCs w:val="24"/>
          <w:spacing w:val="-6"/>
        </w:rPr>
        <w:t>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6" w:line="216" w:lineRule="auto"/>
        <w:rPr>
          <w:rFonts w:ascii="FangSong_GB2312" w:hAnsi="FangSong_GB2312" w:eastAsia="FangSong_GB2312" w:cs="FangSong_GB2312"/>
          <w:sz w:val="24"/>
          <w:szCs w:val="24"/>
        </w:rPr>
      </w:pPr>
      <w:r>
        <w:rPr>
          <w:rFonts w:ascii="FangSong_GB2312" w:hAnsi="FangSong_GB2312" w:eastAsia="FangSong_GB2312" w:cs="FangSong_GB2312"/>
          <w:sz w:val="24"/>
          <w:szCs w:val="24"/>
          <w:spacing w:val="-4"/>
        </w:rPr>
        <w:t>检</w:t>
      </w:r>
      <w:r>
        <w:rPr>
          <w:rFonts w:ascii="FangSong_GB2312" w:hAnsi="FangSong_GB2312" w:eastAsia="FangSong_GB2312" w:cs="FangSong_GB2312"/>
          <w:sz w:val="24"/>
          <w:szCs w:val="24"/>
          <w:spacing w:val="89"/>
        </w:rPr>
        <w:t xml:space="preserve"> </w:t>
      </w:r>
      <w:r>
        <w:rPr>
          <w:rFonts w:ascii="FangSong_GB2312" w:hAnsi="FangSong_GB2312" w:eastAsia="FangSong_GB2312" w:cs="FangSong_GB2312"/>
          <w:sz w:val="24"/>
          <w:szCs w:val="24"/>
          <w:spacing w:val="-4"/>
        </w:rPr>
        <w:t>测</w:t>
      </w:r>
    </w:p>
    <w:p>
      <w:pPr>
        <w:ind w:left="9"/>
        <w:spacing w:before="39" w:line="21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FangSong_GB2312" w:hAnsi="FangSong_GB2312" w:eastAsia="FangSong_GB2312" w:cs="FangSong_GB2312"/>
          <w:sz w:val="24"/>
          <w:szCs w:val="24"/>
          <w:spacing w:val="-5"/>
        </w:rPr>
        <w:t>数</w:t>
      </w:r>
      <w:r>
        <w:rPr>
          <w:rFonts w:ascii="Calibri" w:hAnsi="Calibri" w:eastAsia="Calibri" w:cs="Calibri"/>
          <w:sz w:val="24"/>
          <w:szCs w:val="24"/>
          <w:spacing w:val="-5"/>
        </w:rPr>
        <w:t>(</w:t>
      </w:r>
      <w:r>
        <w:rPr>
          <w:rFonts w:ascii="FangSong_GB2312" w:hAnsi="FangSong_GB2312" w:eastAsia="FangSong_GB2312" w:cs="FangSong_GB2312"/>
          <w:sz w:val="24"/>
          <w:szCs w:val="24"/>
          <w:spacing w:val="-5"/>
        </w:rPr>
        <w:t>份</w:t>
      </w:r>
      <w:r>
        <w:rPr>
          <w:rFonts w:ascii="Calibri" w:hAnsi="Calibri" w:eastAsia="Calibri" w:cs="Calibri"/>
          <w:sz w:val="24"/>
          <w:szCs w:val="24"/>
          <w:spacing w:val="-5"/>
        </w:rPr>
        <w:t>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6" w:line="214" w:lineRule="auto"/>
        <w:rPr>
          <w:rFonts w:ascii="FangSong_GB2312" w:hAnsi="FangSong_GB2312" w:eastAsia="FangSong_GB2312" w:cs="FangSong_GB2312"/>
          <w:sz w:val="24"/>
          <w:szCs w:val="24"/>
        </w:rPr>
      </w:pPr>
      <w:r>
        <w:rPr>
          <w:rFonts w:ascii="FangSong_GB2312" w:hAnsi="FangSong_GB2312" w:eastAsia="FangSong_GB2312" w:cs="FangSong_GB2312"/>
          <w:sz w:val="24"/>
          <w:szCs w:val="24"/>
          <w:spacing w:val="-5"/>
        </w:rPr>
        <w:t>平均值</w:t>
      </w:r>
    </w:p>
    <w:p>
      <w:pPr>
        <w:ind w:left="2"/>
        <w:spacing w:line="321" w:lineRule="exact"/>
        <w:rPr>
          <w:rFonts w:ascii="Calibri" w:hAnsi="Calibri" w:eastAsia="Calibri" w:cs="Calibri"/>
          <w:sz w:val="24"/>
          <w:szCs w:val="24"/>
        </w:rPr>
      </w:pPr>
      <w:r>
        <w:pict>
          <v:shape id="_x0000_s14" style="position:absolute;margin-left:-135.7pt;margin-top:15.522pt;mso-position-vertical-relative:text;mso-position-horizontal-relative:text;width:428.35pt;height:0.5pt;z-index:251778048;" filled="false" strokecolor="#000000" strokeweight="0.48pt" coordsize="8567,10" coordorigin="0,0" path="m0,4l8566,4e">
            <v:stroke joinstyle="bevel" miterlimit="2"/>
          </v:shape>
        </w:pict>
      </w:r>
      <w:r>
        <w:rPr>
          <w:rFonts w:ascii="Calibri" w:hAnsi="Calibri" w:eastAsia="Calibri" w:cs="Calibri"/>
          <w:sz w:val="24"/>
          <w:szCs w:val="24"/>
          <w:spacing w:val="-3"/>
          <w:position w:val="3"/>
        </w:rPr>
        <w:t>(mg/kg)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4"/>
        <w:spacing w:before="94" w:line="18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5"/>
        </w:rPr>
        <w:t>P97.5</w:t>
      </w:r>
    </w:p>
    <w:p>
      <w:pPr>
        <w:spacing w:before="9" w:line="321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  <w:position w:val="3"/>
        </w:rPr>
        <w:t>(mg/kg)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6" w:line="214" w:lineRule="auto"/>
        <w:rPr>
          <w:rFonts w:ascii="FangSong_GB2312" w:hAnsi="FangSong_GB2312" w:eastAsia="FangSong_GB2312" w:cs="FangSong_GB2312"/>
          <w:sz w:val="24"/>
          <w:szCs w:val="24"/>
        </w:rPr>
      </w:pPr>
      <w:r>
        <w:rPr>
          <w:rFonts w:ascii="FangSong_GB2312" w:hAnsi="FangSong_GB2312" w:eastAsia="FangSong_GB2312" w:cs="FangSong_GB2312"/>
          <w:sz w:val="24"/>
          <w:szCs w:val="24"/>
          <w:spacing w:val="-6"/>
        </w:rPr>
        <w:t>最大值</w:t>
      </w:r>
    </w:p>
    <w:p>
      <w:pPr>
        <w:spacing w:line="321" w:lineRule="exac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3"/>
          <w:position w:val="3"/>
        </w:rPr>
        <w:t>(mg/kg)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5" w:line="214" w:lineRule="auto"/>
        <w:rPr>
          <w:rFonts w:ascii="FangSong_GB2312" w:hAnsi="FangSong_GB2312" w:eastAsia="FangSong_GB2312" w:cs="FangSong_GB2312"/>
          <w:sz w:val="24"/>
          <w:szCs w:val="24"/>
        </w:rPr>
      </w:pPr>
      <w:r>
        <w:rPr>
          <w:rFonts w:ascii="FangSong_GB2312" w:hAnsi="FangSong_GB2312" w:eastAsia="FangSong_GB2312" w:cs="FangSong_GB2312"/>
          <w:sz w:val="24"/>
          <w:szCs w:val="24"/>
          <w:spacing w:val="1"/>
        </w:rPr>
        <w:t>检出率</w:t>
      </w:r>
    </w:p>
    <w:p>
      <w:pPr>
        <w:ind w:left="9"/>
        <w:spacing w:before="78" w:line="19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6"/>
        </w:rPr>
        <w:t>(%)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6" w:line="216" w:lineRule="auto"/>
        <w:rPr>
          <w:rFonts w:ascii="FangSong_GB2312" w:hAnsi="FangSong_GB2312" w:eastAsia="FangSong_GB2312" w:cs="FangSong_GB2312"/>
          <w:sz w:val="24"/>
          <w:szCs w:val="24"/>
        </w:rPr>
      </w:pPr>
      <w:r>
        <w:rPr>
          <w:rFonts w:ascii="FangSong_GB2312" w:hAnsi="FangSong_GB2312" w:eastAsia="FangSong_GB2312" w:cs="FangSong_GB2312"/>
          <w:sz w:val="24"/>
          <w:szCs w:val="24"/>
          <w:spacing w:val="-2"/>
        </w:rPr>
        <w:t>超标数</w:t>
      </w:r>
    </w:p>
    <w:p>
      <w:pPr>
        <w:ind w:left="10"/>
        <w:spacing w:before="39" w:line="21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6"/>
        </w:rPr>
        <w:t>(</w:t>
      </w:r>
      <w:r>
        <w:rPr>
          <w:rFonts w:ascii="FangSong_GB2312" w:hAnsi="FangSong_GB2312" w:eastAsia="FangSong_GB2312" w:cs="FangSong_GB2312"/>
          <w:sz w:val="24"/>
          <w:szCs w:val="24"/>
          <w:spacing w:val="-6"/>
        </w:rPr>
        <w:t>份</w:t>
      </w:r>
      <w:r>
        <w:rPr>
          <w:rFonts w:ascii="Calibri" w:hAnsi="Calibri" w:eastAsia="Calibri" w:cs="Calibri"/>
          <w:sz w:val="24"/>
          <w:szCs w:val="24"/>
          <w:spacing w:val="-6"/>
        </w:rPr>
        <w:t>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5" w:line="214" w:lineRule="auto"/>
        <w:rPr>
          <w:rFonts w:ascii="FangSong_GB2312" w:hAnsi="FangSong_GB2312" w:eastAsia="FangSong_GB2312" w:cs="FangSong_GB2312"/>
          <w:sz w:val="24"/>
          <w:szCs w:val="24"/>
        </w:rPr>
      </w:pPr>
      <w:r>
        <w:rPr>
          <w:rFonts w:ascii="FangSong_GB2312" w:hAnsi="FangSong_GB2312" w:eastAsia="FangSong_GB2312" w:cs="FangSong_GB2312"/>
          <w:sz w:val="24"/>
          <w:szCs w:val="24"/>
          <w:spacing w:val="-2"/>
        </w:rPr>
        <w:t>超标率</w:t>
      </w:r>
    </w:p>
    <w:p>
      <w:pPr>
        <w:ind w:left="10"/>
        <w:spacing w:before="78" w:line="191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6"/>
        </w:rPr>
        <w:t>(%)</w:t>
      </w:r>
    </w:p>
    <w:p>
      <w:pPr>
        <w:spacing w:line="191" w:lineRule="auto"/>
        <w:sectPr>
          <w:type w:val="continuous"/>
          <w:pgSz w:w="11906" w:h="16839"/>
          <w:pgMar w:top="400" w:right="1727" w:bottom="1376" w:left="1480" w:header="0" w:footer="1212" w:gutter="0"/>
          <w:cols w:equalWidth="0" w:num="9">
            <w:col w:w="914" w:space="100"/>
            <w:col w:w="838" w:space="100"/>
            <w:col w:w="795" w:space="100"/>
            <w:col w:w="949" w:space="100"/>
            <w:col w:w="925" w:space="100"/>
            <w:col w:w="902" w:space="100"/>
            <w:col w:w="844" w:space="100"/>
            <w:col w:w="870" w:space="100"/>
            <w:col w:w="865" w:space="0"/>
          </w:cols>
        </w:sectPr>
        <w:rPr>
          <w:rFonts w:ascii="Calibri" w:hAnsi="Calibri" w:eastAsia="Calibri" w:cs="Calibri"/>
          <w:sz w:val="24"/>
          <w:szCs w:val="24"/>
        </w:rPr>
      </w:pPr>
    </w:p>
    <w:sdt>
      <w:sdtPr>
        <w:rPr>
          <w:rFonts w:ascii="FangSong_GB2312" w:hAnsi="FangSong_GB2312" w:eastAsia="FangSong_GB2312" w:cs="FangSong_GB2312"/>
          <w:sz w:val="24"/>
          <w:szCs w:val="24"/>
        </w:rPr>
        <w:docPartObj>
          <w:docPartGallery w:val="Table of Contents"/>
          <w:docPartUnique/>
        </w:docPartObj>
      </w:sdtPr>
      <w:sdtEndPr>
        <w:rPr>
          <w:rFonts w:ascii="Calibri" w:hAnsi="Calibri" w:eastAsia="Calibri" w:cs="Calibri"/>
          <w:sz w:val="24"/>
          <w:szCs w:val="24"/>
        </w:rPr>
      </w:sdtEndPr>
      <w:sdtContent>
        <w:p>
          <w:pPr>
            <w:ind w:left="245"/>
            <w:spacing w:before="1" w:line="213" w:lineRule="auto"/>
            <w:rPr>
              <w:rFonts w:ascii="Calibri" w:hAnsi="Calibri" w:eastAsia="Calibri" w:cs="Calibri"/>
              <w:sz w:val="24"/>
              <w:szCs w:val="24"/>
            </w:rPr>
          </w:pPr>
          <w:r>
            <w:rPr>
              <w:rFonts w:ascii="FangSong_GB2312" w:hAnsi="FangSong_GB2312" w:eastAsia="FangSong_GB2312" w:cs="FangSong_GB2312"/>
              <w:sz w:val="24"/>
              <w:szCs w:val="24"/>
              <w:spacing w:val="-2"/>
            </w:rPr>
            <w:t>铅</w:t>
          </w:r>
          <w:r>
            <w:rPr>
              <w:rFonts w:ascii="FangSong_GB2312" w:hAnsi="FangSong_GB2312" w:eastAsia="FangSong_GB2312" w:cs="FangSong_GB2312"/>
              <w:sz w:val="24"/>
              <w:szCs w:val="24"/>
              <w:spacing w:val="13"/>
            </w:rPr>
            <w:t xml:space="preserve">    </w:t>
          </w:r>
          <w:r>
            <w:rPr>
              <w:rFonts w:ascii="Calibri" w:hAnsi="Calibri" w:eastAsia="Calibri" w:cs="Calibri"/>
              <w:sz w:val="24"/>
              <w:szCs w:val="24"/>
              <w:spacing w:val="-2"/>
            </w:rPr>
            <w:t>74</w:t>
          </w:r>
          <w:r>
            <w:rPr>
              <w:rFonts w:ascii="Calibri" w:hAnsi="Calibri" w:eastAsia="Calibri" w:cs="Calibri"/>
              <w:sz w:val="24"/>
              <w:szCs w:val="24"/>
            </w:rPr>
            <w:t xml:space="preserve">             </w:t>
          </w:r>
          <w:r>
            <w:rPr>
              <w:rFonts w:ascii="Calibri" w:hAnsi="Calibri" w:eastAsia="Calibri" w:cs="Calibri"/>
              <w:sz w:val="24"/>
              <w:szCs w:val="24"/>
              <w:spacing w:val="-2"/>
            </w:rPr>
            <w:t>74            0.305          1.05            1.12           </w:t>
          </w:r>
          <w:r>
            <w:rPr>
              <w:rFonts w:ascii="Calibri" w:hAnsi="Calibri" w:eastAsia="Calibri" w:cs="Calibri"/>
              <w:sz w:val="24"/>
              <w:szCs w:val="24"/>
              <w:spacing w:val="-3"/>
            </w:rPr>
            <w:t>100            0                </w:t>
          </w:r>
          <w:hyperlink w:history="true" w:anchor="bookmark2">
            <w:r>
              <w:rPr>
                <w:rFonts w:ascii="Calibri" w:hAnsi="Calibri" w:eastAsia="Calibri" w:cs="Calibri"/>
                <w:sz w:val="24"/>
                <w:szCs w:val="24"/>
                <w:spacing w:val="-3"/>
              </w:rPr>
              <w:t>0</w:t>
            </w:r>
          </w:hyperlink>
        </w:p>
        <w:p>
          <w:pPr>
            <w:ind w:left="249"/>
            <w:spacing w:before="34" w:line="216" w:lineRule="auto"/>
            <w:rPr>
              <w:rFonts w:ascii="Calibri" w:hAnsi="Calibri" w:eastAsia="Calibri" w:cs="Calibri"/>
              <w:sz w:val="24"/>
              <w:szCs w:val="24"/>
            </w:rPr>
          </w:pPr>
          <w:r>
            <w:rPr>
              <w:rFonts w:ascii="FangSong_GB2312" w:hAnsi="FangSong_GB2312" w:eastAsia="FangSong_GB2312" w:cs="FangSong_GB2312"/>
              <w:sz w:val="24"/>
              <w:szCs w:val="24"/>
              <w:spacing w:val="-1"/>
            </w:rPr>
            <w:t>镉</w:t>
          </w:r>
          <w:r>
            <w:rPr>
              <w:rFonts w:ascii="FangSong_GB2312" w:hAnsi="FangSong_GB2312" w:eastAsia="FangSong_GB2312" w:cs="FangSong_GB2312"/>
              <w:sz w:val="24"/>
              <w:szCs w:val="24"/>
              <w:spacing w:val="13"/>
            </w:rPr>
            <w:t xml:space="preserve">    </w:t>
          </w:r>
          <w:r>
            <w:rPr>
              <w:rFonts w:ascii="Calibri" w:hAnsi="Calibri" w:eastAsia="Calibri" w:cs="Calibri"/>
              <w:sz w:val="24"/>
              <w:szCs w:val="24"/>
              <w:spacing w:val="-1"/>
            </w:rPr>
            <w:t>74             74            0.014          0.</w:t>
          </w:r>
          <w:r>
            <w:rPr>
              <w:rFonts w:ascii="Calibri" w:hAnsi="Calibri" w:eastAsia="Calibri" w:cs="Calibri"/>
              <w:sz w:val="24"/>
              <w:szCs w:val="24"/>
              <w:spacing w:val="-2"/>
            </w:rPr>
            <w:t>032         0.065         95.95       0                 </w:t>
          </w:r>
          <w:hyperlink w:history="true" w:anchor="bookmark3">
            <w:r>
              <w:rPr>
                <w:rFonts w:ascii="Calibri" w:hAnsi="Calibri" w:eastAsia="Calibri" w:cs="Calibri"/>
                <w:sz w:val="24"/>
                <w:szCs w:val="24"/>
                <w:spacing w:val="-2"/>
              </w:rPr>
              <w:t>0</w:t>
            </w:r>
          </w:hyperlink>
        </w:p>
        <w:p>
          <w:pPr>
            <w:ind w:left="252"/>
            <w:spacing w:before="32" w:line="217" w:lineRule="auto"/>
            <w:rPr>
              <w:rFonts w:ascii="Calibri" w:hAnsi="Calibri" w:eastAsia="Calibri" w:cs="Calibri"/>
              <w:sz w:val="24"/>
              <w:szCs w:val="24"/>
            </w:rPr>
          </w:pPr>
          <w:r>
            <w:rPr>
              <w:rFonts w:ascii="FangSong_GB2312" w:hAnsi="FangSong_GB2312" w:eastAsia="FangSong_GB2312" w:cs="FangSong_GB2312"/>
              <w:sz w:val="24"/>
              <w:szCs w:val="24"/>
              <w:spacing w:val="-1"/>
            </w:rPr>
            <w:t>砷</w:t>
          </w:r>
          <w:r>
            <w:rPr>
              <w:rFonts w:ascii="FangSong_GB2312" w:hAnsi="FangSong_GB2312" w:eastAsia="FangSong_GB2312" w:cs="FangSong_GB2312"/>
              <w:sz w:val="24"/>
              <w:szCs w:val="24"/>
              <w:spacing w:val="13"/>
            </w:rPr>
            <w:t xml:space="preserve">    </w:t>
          </w:r>
          <w:r>
            <w:rPr>
              <w:rFonts w:ascii="Calibri" w:hAnsi="Calibri" w:eastAsia="Calibri" w:cs="Calibri"/>
              <w:sz w:val="24"/>
              <w:szCs w:val="24"/>
              <w:spacing w:val="-1"/>
            </w:rPr>
            <w:t>74             74</w:t>
          </w:r>
          <w:r>
            <w:rPr>
              <w:rFonts w:ascii="Calibri" w:hAnsi="Calibri" w:eastAsia="Calibri" w:cs="Calibri"/>
              <w:sz w:val="24"/>
              <w:szCs w:val="24"/>
            </w:rPr>
            <w:t xml:space="preserve">            </w:t>
          </w:r>
          <w:r>
            <w:rPr>
              <w:rFonts w:ascii="Calibri" w:hAnsi="Calibri" w:eastAsia="Calibri" w:cs="Calibri"/>
              <w:sz w:val="24"/>
              <w:szCs w:val="24"/>
              <w:spacing w:val="-1"/>
            </w:rPr>
            <w:t>0.076          0.444  </w:t>
          </w:r>
          <w:r>
            <w:rPr>
              <w:rFonts w:ascii="Calibri" w:hAnsi="Calibri" w:eastAsia="Calibri" w:cs="Calibri"/>
              <w:sz w:val="24"/>
              <w:szCs w:val="24"/>
              <w:spacing w:val="-2"/>
            </w:rPr>
            <w:t xml:space="preserve">       0.492         100           0                </w:t>
          </w:r>
          <w:hyperlink w:history="true" w:anchor="bookmark4">
            <w:r>
              <w:rPr>
                <w:rFonts w:ascii="Calibri" w:hAnsi="Calibri" w:eastAsia="Calibri" w:cs="Calibri"/>
                <w:sz w:val="24"/>
                <w:szCs w:val="24"/>
                <w:spacing w:val="-2"/>
              </w:rPr>
              <w:t>0</w:t>
            </w:r>
          </w:hyperlink>
        </w:p>
        <w:p>
          <w:pPr>
            <w:ind w:left="256"/>
            <w:spacing w:before="29" w:line="221" w:lineRule="auto"/>
            <w:rPr>
              <w:rFonts w:ascii="Calibri" w:hAnsi="Calibri" w:eastAsia="Calibri" w:cs="Calibri"/>
              <w:sz w:val="24"/>
              <w:szCs w:val="24"/>
            </w:rPr>
          </w:pPr>
          <w:r>
            <w:rPr>
              <w:rFonts w:ascii="FangSong_GB2312" w:hAnsi="FangSong_GB2312" w:eastAsia="FangSong_GB2312" w:cs="FangSong_GB2312"/>
              <w:sz w:val="24"/>
              <w:szCs w:val="24"/>
              <w:spacing w:val="-1"/>
            </w:rPr>
            <w:t>汞</w:t>
          </w:r>
          <w:r>
            <w:rPr>
              <w:rFonts w:ascii="FangSong_GB2312" w:hAnsi="FangSong_GB2312" w:eastAsia="FangSong_GB2312" w:cs="FangSong_GB2312"/>
              <w:sz w:val="24"/>
              <w:szCs w:val="24"/>
              <w:spacing w:val="13"/>
            </w:rPr>
            <w:t xml:space="preserve">    </w:t>
          </w:r>
          <w:r>
            <w:rPr>
              <w:rFonts w:ascii="Calibri" w:hAnsi="Calibri" w:eastAsia="Calibri" w:cs="Calibri"/>
              <w:sz w:val="24"/>
              <w:szCs w:val="24"/>
              <w:spacing w:val="-1"/>
            </w:rPr>
            <w:t>74             74            0.007      </w:t>
          </w:r>
          <w:r>
            <w:rPr>
              <w:rFonts w:ascii="Calibri" w:hAnsi="Calibri" w:eastAsia="Calibri" w:cs="Calibri"/>
              <w:sz w:val="24"/>
              <w:szCs w:val="24"/>
              <w:spacing w:val="-2"/>
            </w:rPr>
            <w:t xml:space="preserve">    0.061         0.199         55.41        0                </w:t>
          </w:r>
          <w:hyperlink w:history="true" w:anchor="bookmark5">
            <w:r>
              <w:rPr>
                <w:rFonts w:ascii="Calibri" w:hAnsi="Calibri" w:eastAsia="Calibri" w:cs="Calibri"/>
                <w:sz w:val="24"/>
                <w:szCs w:val="24"/>
                <w:spacing w:val="-2"/>
              </w:rPr>
              <w:t>0</w:t>
            </w:r>
          </w:hyperlink>
        </w:p>
      </w:sdtContent>
    </w:sdt>
    <w:p>
      <w:pPr>
        <w:ind w:left="329"/>
        <w:spacing w:before="195" w:line="227" w:lineRule="auto"/>
        <w:outlineLvl w:val="1"/>
        <w:rPr>
          <w:rFonts w:ascii="KaiTi" w:hAnsi="KaiTi" w:eastAsia="KaiTi" w:cs="KaiTi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7</w:t>
      </w:r>
      <w:r>
        <w:rPr>
          <w:rFonts w:ascii="Times New Roman" w:hAnsi="Times New Roman" w:eastAsia="Times New Roman" w:cs="Times New Roman"/>
          <w:sz w:val="28"/>
          <w:szCs w:val="28"/>
          <w:spacing w:val="-41"/>
        </w:rPr>
        <w:t xml:space="preserve"> </w:t>
      </w:r>
      <w:r>
        <w:rPr>
          <w:rFonts w:ascii="KaiTi" w:hAnsi="KaiTi" w:eastAsia="KaiTi" w:cs="KaiTi"/>
          <w:sz w:val="28"/>
          <w:szCs w:val="28"/>
          <w:spacing w:val="-5"/>
        </w:rPr>
        <w:t>、农药残留限量</w:t>
      </w:r>
    </w:p>
    <w:p>
      <w:pPr>
        <w:ind w:left="891"/>
        <w:spacing w:before="216" w:line="21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农药残留限量应符合</w:t>
      </w:r>
      <w:r>
        <w:rPr>
          <w:rFonts w:ascii="FangSong_GB2312" w:hAnsi="FangSong_GB2312" w:eastAsia="FangSong_GB2312" w:cs="FangSong_GB2312"/>
          <w:sz w:val="28"/>
          <w:szCs w:val="28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GB 2763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及农业农村部的相关规定。</w:t>
      </w:r>
    </w:p>
    <w:p>
      <w:pPr>
        <w:ind w:left="337"/>
        <w:spacing w:before="267" w:line="222" w:lineRule="auto"/>
        <w:outlineLvl w:val="0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2"/>
        </w:rPr>
        <w:t>五、征求意见的采纳情况</w:t>
      </w:r>
    </w:p>
    <w:p>
      <w:pPr>
        <w:ind w:left="334" w:right="72" w:firstLine="556"/>
        <w:spacing w:before="188" w:line="369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4"/>
        </w:rPr>
        <w:t>起草单位在提交专委会审查前，已向社会广泛征集意见，时间为</w:t>
      </w:r>
      <w:r>
        <w:rPr>
          <w:rFonts w:ascii="FangSong_GB2312" w:hAnsi="FangSong_GB2312" w:eastAsia="FangSong_GB2312" w:cs="FangSong_GB2312"/>
          <w:sz w:val="28"/>
          <w:szCs w:val="28"/>
          <w:spacing w:val="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期</w:t>
      </w:r>
      <w:r>
        <w:rPr>
          <w:rFonts w:ascii="FangSong_GB2312" w:hAnsi="FangSong_GB2312" w:eastAsia="FangSong_GB2312" w:cs="FangSong_GB2312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2 </w:t>
      </w:r>
      <w:r>
        <w:rPr>
          <w:rFonts w:ascii="FangSong_GB2312" w:hAnsi="FangSong_GB2312" w:eastAsia="FangSong_GB2312" w:cs="FangSong_GB2312"/>
          <w:sz w:val="28"/>
          <w:szCs w:val="28"/>
          <w:spacing w:val="-2"/>
        </w:rPr>
        <w:t>个月，未收到相关意见建议。</w:t>
      </w:r>
    </w:p>
    <w:p>
      <w:pPr>
        <w:ind w:left="339"/>
        <w:spacing w:before="36" w:line="222" w:lineRule="auto"/>
        <w:outlineLvl w:val="0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3"/>
        </w:rPr>
        <w:t>六、重大意见分歧</w:t>
      </w:r>
    </w:p>
    <w:p>
      <w:pPr>
        <w:ind w:left="901"/>
        <w:spacing w:before="193" w:line="184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FangSong_GB2312" w:hAnsi="FangSong_GB2312" w:eastAsia="FangSong_GB2312" w:cs="FangSong_GB2312"/>
          <w:sz w:val="28"/>
          <w:szCs w:val="28"/>
          <w:spacing w:val="-3"/>
        </w:rPr>
        <w:t>暂无重大意见分歧。</w:t>
      </w:r>
    </w:p>
    <w:p>
      <w:pPr>
        <w:spacing w:line="184" w:lineRule="auto"/>
        <w:sectPr>
          <w:type w:val="continuous"/>
          <w:pgSz w:w="11906" w:h="16839"/>
          <w:pgMar w:top="400" w:right="1727" w:bottom="1376" w:left="1480" w:header="0" w:footer="1212" w:gutter="0"/>
          <w:cols w:equalWidth="0" w:num="1">
            <w:col w:w="8699" w:space="0"/>
          </w:cols>
        </w:sectPr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spacing w:before="103" w:line="262" w:lineRule="exact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4"/>
          <w:position w:val="-1"/>
        </w:rPr>
        <w:t>附件</w:t>
      </w:r>
      <w:r>
        <w:rPr>
          <w:rFonts w:ascii="Microsoft YaHei" w:hAnsi="Microsoft YaHei" w:eastAsia="Microsoft YaHei" w:cs="Microsoft YaHei"/>
          <w:sz w:val="24"/>
          <w:szCs w:val="24"/>
          <w:spacing w:val="29"/>
          <w:position w:val="-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  <w:position w:val="-1"/>
        </w:rPr>
        <w:t>1  </w:t>
      </w:r>
      <w:r>
        <w:rPr>
          <w:rFonts w:ascii="Microsoft YaHei" w:hAnsi="Microsoft YaHei" w:eastAsia="Microsoft YaHei" w:cs="Microsoft YaHei"/>
          <w:sz w:val="24"/>
          <w:szCs w:val="24"/>
          <w:spacing w:val="-4"/>
          <w:position w:val="-1"/>
        </w:rPr>
        <w:t>相关标准理化指标对比表</w:t>
      </w:r>
    </w:p>
    <w:p>
      <w:pPr>
        <w:pStyle w:val="BodyText"/>
        <w:ind w:left="541"/>
        <w:spacing w:line="234" w:lineRule="auto"/>
        <w:tabs>
          <w:tab w:val="left" w:pos="13370"/>
        </w:tabs>
        <w:rPr/>
      </w:pPr>
      <w:r>
        <w:rPr>
          <w:u w:val="single" w:color="auto"/>
        </w:rPr>
        <w:tab/>
      </w:r>
    </w:p>
    <w:p>
      <w:pPr>
        <w:ind w:left="3776"/>
        <w:spacing w:before="12" w:line="168" w:lineRule="auto"/>
        <w:rPr>
          <w:rFonts w:ascii="FangSong_GB2312" w:hAnsi="FangSong_GB2312" w:eastAsia="FangSong_GB2312" w:cs="FangSong_GB2312"/>
          <w:sz w:val="20"/>
          <w:szCs w:val="20"/>
        </w:rPr>
      </w:pPr>
      <w:r>
        <w:rPr>
          <w:rFonts w:ascii="FangSong_GB2312" w:hAnsi="FangSong_GB2312" w:eastAsia="FangSong_GB2312" w:cs="FangSong_GB2312"/>
          <w:sz w:val="20"/>
          <w:szCs w:val="20"/>
          <w:spacing w:val="28"/>
        </w:rPr>
        <w:t>马钱苷和莫</w:t>
      </w:r>
    </w:p>
    <w:p>
      <w:pPr>
        <w:ind w:left="1081"/>
        <w:spacing w:before="1" w:line="187" w:lineRule="auto"/>
        <w:rPr>
          <w:rFonts w:ascii="FangSong_GB2312" w:hAnsi="FangSong_GB2312" w:eastAsia="FangSong_GB2312" w:cs="FangSong_GB2312"/>
          <w:sz w:val="20"/>
          <w:szCs w:val="20"/>
        </w:rPr>
      </w:pPr>
      <w:r>
        <w:pict>
          <v:shape id="_x0000_s16" style="position:absolute;margin-left:133.659pt;margin-top:13.3546pt;mso-position-vertical-relative:text;mso-position-horizontal-relative:text;width:163.75pt;height:13.2pt;z-index:2517790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06" w:lineRule="auto"/>
                    <w:rPr>
                      <w:rFonts w:ascii="FangSong_GB2312" w:hAnsi="FangSong_GB2312" w:eastAsia="FangSong_GB2312" w:cs="FangSong_GB2312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  <w:spacing w:val="3"/>
                    </w:rPr>
                    <w:t>(g/100g)</w:t>
                  </w: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  <w:spacing w:val="1"/>
                    </w:rPr>
                    <w:t xml:space="preserve">                                  </w:t>
                  </w:r>
                  <w:r>
                    <w:rPr>
                      <w:rFonts w:ascii="FangSong_GB2312" w:hAnsi="FangSong_GB2312" w:eastAsia="FangSong_GB2312" w:cs="FangSong_GB2312"/>
                      <w:sz w:val="20"/>
                      <w:szCs w:val="20"/>
                      <w:spacing w:val="3"/>
                    </w:rPr>
                    <w:t>量（</w:t>
                  </w: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  <w:spacing w:val="3"/>
                    </w:rPr>
                    <w:t>%</w:t>
                  </w:r>
                  <w:r>
                    <w:rPr>
                      <w:rFonts w:ascii="FangSong_GB2312" w:hAnsi="FangSong_GB2312" w:eastAsia="FangSong_GB2312" w:cs="FangSong_GB2312"/>
                      <w:sz w:val="20"/>
                      <w:szCs w:val="20"/>
                      <w:spacing w:val="3"/>
                    </w:rPr>
                    <w:t>）</w:t>
                  </w:r>
                </w:p>
              </w:txbxContent>
            </v:textbox>
          </v:shape>
        </w:pict>
      </w:r>
      <w:r>
        <w:rPr>
          <w:rFonts w:ascii="FangSong_GB2312" w:hAnsi="FangSong_GB2312" w:eastAsia="FangSong_GB2312" w:cs="FangSong_GB2312"/>
          <w:sz w:val="20"/>
          <w:szCs w:val="20"/>
          <w:spacing w:val="6"/>
          <w:position w:val="3"/>
        </w:rPr>
        <w:t>参考标准</w:t>
      </w:r>
      <w:r>
        <w:rPr>
          <w:rFonts w:ascii="FangSong_GB2312" w:hAnsi="FangSong_GB2312" w:eastAsia="FangSong_GB2312" w:cs="FangSong_GB2312"/>
          <w:sz w:val="20"/>
          <w:szCs w:val="20"/>
          <w:spacing w:val="6"/>
          <w:position w:val="3"/>
        </w:rPr>
        <w:t xml:space="preserve">       </w:t>
      </w:r>
      <w:r>
        <w:rPr>
          <w:rFonts w:ascii="FangSong_GB2312" w:hAnsi="FangSong_GB2312" w:eastAsia="FangSong_GB2312" w:cs="FangSong_GB2312"/>
          <w:sz w:val="20"/>
          <w:szCs w:val="20"/>
          <w:spacing w:val="6"/>
          <w:position w:val="12"/>
        </w:rPr>
        <w:t>水</w:t>
      </w:r>
      <w:r>
        <w:rPr>
          <w:rFonts w:ascii="FangSong_GB2312" w:hAnsi="FangSong_GB2312" w:eastAsia="FangSong_GB2312" w:cs="FangSong_GB2312"/>
          <w:sz w:val="20"/>
          <w:szCs w:val="20"/>
          <w:spacing w:val="13"/>
          <w:position w:val="12"/>
        </w:rPr>
        <w:t xml:space="preserve">    </w:t>
      </w:r>
      <w:r>
        <w:rPr>
          <w:rFonts w:ascii="FangSong_GB2312" w:hAnsi="FangSong_GB2312" w:eastAsia="FangSong_GB2312" w:cs="FangSong_GB2312"/>
          <w:sz w:val="20"/>
          <w:szCs w:val="20"/>
          <w:spacing w:val="6"/>
          <w:position w:val="12"/>
        </w:rPr>
        <w:t>分</w:t>
      </w:r>
      <w:r>
        <w:rPr>
          <w:rFonts w:ascii="FangSong_GB2312" w:hAnsi="FangSong_GB2312" w:eastAsia="FangSong_GB2312" w:cs="FangSong_GB2312"/>
          <w:sz w:val="20"/>
          <w:szCs w:val="20"/>
          <w:spacing w:val="14"/>
          <w:position w:val="12"/>
        </w:rPr>
        <w:t xml:space="preserve">  </w:t>
      </w:r>
      <w:r>
        <w:rPr>
          <w:rFonts w:ascii="FangSong_GB2312" w:hAnsi="FangSong_GB2312" w:eastAsia="FangSong_GB2312" w:cs="FangSong_GB2312"/>
          <w:sz w:val="20"/>
          <w:szCs w:val="20"/>
          <w:spacing w:val="6"/>
          <w:position w:val="-3"/>
        </w:rPr>
        <w:t>诺</w:t>
      </w:r>
      <w:r>
        <w:rPr>
          <w:rFonts w:ascii="FangSong_GB2312" w:hAnsi="FangSong_GB2312" w:eastAsia="FangSong_GB2312" w:cs="FangSong_GB2312"/>
          <w:sz w:val="20"/>
          <w:szCs w:val="20"/>
          <w:spacing w:val="-59"/>
          <w:position w:val="-3"/>
        </w:rPr>
        <w:t xml:space="preserve"> </w:t>
      </w:r>
      <w:r>
        <w:rPr>
          <w:rFonts w:ascii="FangSong_GB2312" w:hAnsi="FangSong_GB2312" w:eastAsia="FangSong_GB2312" w:cs="FangSong_GB2312"/>
          <w:sz w:val="20"/>
          <w:szCs w:val="20"/>
          <w:spacing w:val="6"/>
          <w:position w:val="-3"/>
        </w:rPr>
        <w:t>苷</w:t>
      </w:r>
      <w:r>
        <w:rPr>
          <w:rFonts w:ascii="FangSong_GB2312" w:hAnsi="FangSong_GB2312" w:eastAsia="FangSong_GB2312" w:cs="FangSong_GB2312"/>
          <w:sz w:val="20"/>
          <w:szCs w:val="20"/>
          <w:spacing w:val="-52"/>
          <w:position w:val="-3"/>
        </w:rPr>
        <w:t xml:space="preserve"> </w:t>
      </w:r>
      <w:r>
        <w:rPr>
          <w:rFonts w:ascii="FangSong_GB2312" w:hAnsi="FangSong_GB2312" w:eastAsia="FangSong_GB2312" w:cs="FangSong_GB2312"/>
          <w:sz w:val="20"/>
          <w:szCs w:val="20"/>
          <w:spacing w:val="6"/>
          <w:position w:val="-3"/>
        </w:rPr>
        <w:t>总含量</w:t>
      </w:r>
      <w:r>
        <w:rPr>
          <w:rFonts w:ascii="FangSong_GB2312" w:hAnsi="FangSong_GB2312" w:eastAsia="FangSong_GB2312" w:cs="FangSong_GB2312"/>
          <w:sz w:val="20"/>
          <w:szCs w:val="20"/>
          <w:spacing w:val="14"/>
          <w:position w:val="-3"/>
        </w:rPr>
        <w:t xml:space="preserve">  </w:t>
      </w:r>
      <w:r>
        <w:rPr>
          <w:rFonts w:ascii="FangSong_GB2312" w:hAnsi="FangSong_GB2312" w:eastAsia="FangSong_GB2312" w:cs="FangSong_GB2312"/>
          <w:sz w:val="20"/>
          <w:szCs w:val="20"/>
          <w:spacing w:val="6"/>
          <w:position w:val="12"/>
        </w:rPr>
        <w:t>浸出物含</w:t>
      </w:r>
      <w:r>
        <w:rPr>
          <w:rFonts w:ascii="FangSong_GB2312" w:hAnsi="FangSong_GB2312" w:eastAsia="FangSong_GB2312" w:cs="FangSong_GB2312"/>
          <w:sz w:val="20"/>
          <w:szCs w:val="20"/>
          <w:spacing w:val="12"/>
          <w:position w:val="12"/>
        </w:rPr>
        <w:t xml:space="preserve">  </w:t>
      </w:r>
      <w:r>
        <w:rPr>
          <w:rFonts w:ascii="FangSong_GB2312" w:hAnsi="FangSong_GB2312" w:eastAsia="FangSong_GB2312" w:cs="FangSong_GB2312"/>
          <w:sz w:val="20"/>
          <w:szCs w:val="20"/>
          <w:spacing w:val="6"/>
          <w:position w:val="-3"/>
        </w:rPr>
        <w:t>铅</w:t>
      </w:r>
      <w:r>
        <w:rPr>
          <w:rFonts w:ascii="Times New Roman" w:hAnsi="Times New Roman" w:eastAsia="Times New Roman" w:cs="Times New Roman"/>
          <w:sz w:val="20"/>
          <w:szCs w:val="20"/>
          <w:spacing w:val="6"/>
          <w:position w:val="-3"/>
        </w:rPr>
        <w:t>(</w:t>
      </w:r>
      <w:r>
        <w:rPr>
          <w:rFonts w:ascii="Times New Roman" w:hAnsi="Times New Roman" w:eastAsia="Times New Roman" w:cs="Times New Roman"/>
          <w:sz w:val="20"/>
          <w:szCs w:val="20"/>
          <w:position w:val="-3"/>
        </w:rPr>
        <w:t>mg</w:t>
      </w:r>
      <w:r>
        <w:rPr>
          <w:rFonts w:ascii="Times New Roman" w:hAnsi="Times New Roman" w:eastAsia="Times New Roman" w:cs="Times New Roman"/>
          <w:sz w:val="20"/>
          <w:szCs w:val="20"/>
          <w:spacing w:val="6"/>
          <w:position w:val="-3"/>
        </w:rPr>
        <w:t>/</w:t>
      </w:r>
      <w:r>
        <w:rPr>
          <w:rFonts w:ascii="Times New Roman" w:hAnsi="Times New Roman" w:eastAsia="Times New Roman" w:cs="Times New Roman"/>
          <w:sz w:val="20"/>
          <w:szCs w:val="20"/>
          <w:position w:val="-3"/>
        </w:rPr>
        <w:t>kg</w:t>
      </w:r>
      <w:r>
        <w:rPr>
          <w:rFonts w:ascii="Times New Roman" w:hAnsi="Times New Roman" w:eastAsia="Times New Roman" w:cs="Times New Roman"/>
          <w:sz w:val="20"/>
          <w:szCs w:val="20"/>
          <w:spacing w:val="6"/>
          <w:position w:val="-3"/>
        </w:rPr>
        <w:t>)       </w:t>
      </w:r>
      <w:r>
        <w:rPr>
          <w:rFonts w:ascii="FangSong_GB2312" w:hAnsi="FangSong_GB2312" w:eastAsia="FangSong_GB2312" w:cs="FangSong_GB2312"/>
          <w:sz w:val="20"/>
          <w:szCs w:val="20"/>
          <w:spacing w:val="6"/>
          <w:position w:val="-3"/>
        </w:rPr>
        <w:t>镉</w:t>
      </w:r>
      <w:r>
        <w:rPr>
          <w:rFonts w:ascii="Times New Roman" w:hAnsi="Times New Roman" w:eastAsia="Times New Roman" w:cs="Times New Roman"/>
          <w:sz w:val="20"/>
          <w:szCs w:val="20"/>
          <w:spacing w:val="6"/>
          <w:position w:val="-3"/>
        </w:rPr>
        <w:t>(</w:t>
      </w:r>
      <w:r>
        <w:rPr>
          <w:rFonts w:ascii="Times New Roman" w:hAnsi="Times New Roman" w:eastAsia="Times New Roman" w:cs="Times New Roman"/>
          <w:sz w:val="20"/>
          <w:szCs w:val="20"/>
          <w:position w:val="-3"/>
        </w:rPr>
        <w:t>mg</w:t>
      </w:r>
      <w:r>
        <w:rPr>
          <w:rFonts w:ascii="Times New Roman" w:hAnsi="Times New Roman" w:eastAsia="Times New Roman" w:cs="Times New Roman"/>
          <w:sz w:val="20"/>
          <w:szCs w:val="20"/>
          <w:spacing w:val="6"/>
          <w:position w:val="-3"/>
        </w:rPr>
        <w:t>/</w:t>
      </w:r>
      <w:r>
        <w:rPr>
          <w:rFonts w:ascii="Times New Roman" w:hAnsi="Times New Roman" w:eastAsia="Times New Roman" w:cs="Times New Roman"/>
          <w:sz w:val="20"/>
          <w:szCs w:val="20"/>
          <w:position w:val="-3"/>
        </w:rPr>
        <w:t>kg</w:t>
      </w:r>
      <w:r>
        <w:rPr>
          <w:rFonts w:ascii="Times New Roman" w:hAnsi="Times New Roman" w:eastAsia="Times New Roman" w:cs="Times New Roman"/>
          <w:sz w:val="20"/>
          <w:szCs w:val="20"/>
          <w:spacing w:val="6"/>
          <w:position w:val="-3"/>
        </w:rPr>
        <w:t>)      </w:t>
      </w:r>
      <w:r>
        <w:rPr>
          <w:rFonts w:ascii="FangSong_GB2312" w:hAnsi="FangSong_GB2312" w:eastAsia="FangSong_GB2312" w:cs="FangSong_GB2312"/>
          <w:sz w:val="20"/>
          <w:szCs w:val="20"/>
          <w:spacing w:val="6"/>
          <w:position w:val="-3"/>
        </w:rPr>
        <w:t>砷</w:t>
      </w:r>
      <w:r>
        <w:rPr>
          <w:rFonts w:ascii="Times New Roman" w:hAnsi="Times New Roman" w:eastAsia="Times New Roman" w:cs="Times New Roman"/>
          <w:sz w:val="20"/>
          <w:szCs w:val="20"/>
          <w:spacing w:val="6"/>
          <w:position w:val="-3"/>
        </w:rPr>
        <w:t>(</w:t>
      </w:r>
      <w:r>
        <w:rPr>
          <w:rFonts w:ascii="Times New Roman" w:hAnsi="Times New Roman" w:eastAsia="Times New Roman" w:cs="Times New Roman"/>
          <w:sz w:val="20"/>
          <w:szCs w:val="20"/>
          <w:position w:val="-3"/>
        </w:rPr>
        <w:t>mg</w:t>
      </w:r>
      <w:r>
        <w:rPr>
          <w:rFonts w:ascii="Times New Roman" w:hAnsi="Times New Roman" w:eastAsia="Times New Roman" w:cs="Times New Roman"/>
          <w:sz w:val="20"/>
          <w:szCs w:val="20"/>
          <w:spacing w:val="6"/>
          <w:position w:val="-3"/>
        </w:rPr>
        <w:t>/</w:t>
      </w:r>
      <w:r>
        <w:rPr>
          <w:rFonts w:ascii="Times New Roman" w:hAnsi="Times New Roman" w:eastAsia="Times New Roman" w:cs="Times New Roman"/>
          <w:sz w:val="20"/>
          <w:szCs w:val="20"/>
          <w:position w:val="-3"/>
        </w:rPr>
        <w:t>kg</w:t>
      </w:r>
      <w:r>
        <w:rPr>
          <w:rFonts w:ascii="Times New Roman" w:hAnsi="Times New Roman" w:eastAsia="Times New Roman" w:cs="Times New Roman"/>
          <w:sz w:val="20"/>
          <w:szCs w:val="20"/>
          <w:spacing w:val="6"/>
          <w:position w:val="-3"/>
        </w:rPr>
        <w:t>)     </w:t>
      </w:r>
      <w:r>
        <w:rPr>
          <w:rFonts w:ascii="Times New Roman" w:hAnsi="Times New Roman" w:eastAsia="Times New Roman" w:cs="Times New Roman"/>
          <w:sz w:val="20"/>
          <w:szCs w:val="20"/>
          <w:spacing w:val="5"/>
          <w:position w:val="-3"/>
        </w:rPr>
        <w:t xml:space="preserve"> </w:t>
      </w:r>
      <w:r>
        <w:rPr>
          <w:rFonts w:ascii="FangSong_GB2312" w:hAnsi="FangSong_GB2312" w:eastAsia="FangSong_GB2312" w:cs="FangSong_GB2312"/>
          <w:sz w:val="20"/>
          <w:szCs w:val="20"/>
          <w:spacing w:val="5"/>
          <w:position w:val="-3"/>
        </w:rPr>
        <w:t>汞</w:t>
      </w:r>
      <w:r>
        <w:rPr>
          <w:rFonts w:ascii="Times New Roman" w:hAnsi="Times New Roman" w:eastAsia="Times New Roman" w:cs="Times New Roman"/>
          <w:sz w:val="20"/>
          <w:szCs w:val="20"/>
          <w:spacing w:val="5"/>
          <w:position w:val="-3"/>
        </w:rPr>
        <w:t>(</w:t>
      </w:r>
      <w:r>
        <w:rPr>
          <w:rFonts w:ascii="Times New Roman" w:hAnsi="Times New Roman" w:eastAsia="Times New Roman" w:cs="Times New Roman"/>
          <w:sz w:val="20"/>
          <w:szCs w:val="20"/>
          <w:position w:val="-3"/>
        </w:rPr>
        <w:t>mg</w:t>
      </w:r>
      <w:r>
        <w:rPr>
          <w:rFonts w:ascii="Times New Roman" w:hAnsi="Times New Roman" w:eastAsia="Times New Roman" w:cs="Times New Roman"/>
          <w:sz w:val="20"/>
          <w:szCs w:val="20"/>
          <w:spacing w:val="5"/>
          <w:position w:val="-3"/>
        </w:rPr>
        <w:t>/</w:t>
      </w:r>
      <w:r>
        <w:rPr>
          <w:rFonts w:ascii="Times New Roman" w:hAnsi="Times New Roman" w:eastAsia="Times New Roman" w:cs="Times New Roman"/>
          <w:sz w:val="20"/>
          <w:szCs w:val="20"/>
          <w:position w:val="-3"/>
        </w:rPr>
        <w:t>kg</w:t>
      </w:r>
      <w:r>
        <w:rPr>
          <w:rFonts w:ascii="Times New Roman" w:hAnsi="Times New Roman" w:eastAsia="Times New Roman" w:cs="Times New Roman"/>
          <w:sz w:val="20"/>
          <w:szCs w:val="20"/>
          <w:spacing w:val="5"/>
          <w:position w:val="-3"/>
        </w:rPr>
        <w:t>)       </w:t>
      </w:r>
      <w:r>
        <w:rPr>
          <w:rFonts w:ascii="FangSong_GB2312" w:hAnsi="FangSong_GB2312" w:eastAsia="FangSong_GB2312" w:cs="FangSong_GB2312"/>
          <w:sz w:val="20"/>
          <w:szCs w:val="20"/>
          <w:spacing w:val="5"/>
          <w:position w:val="-3"/>
        </w:rPr>
        <w:t>农残</w:t>
      </w:r>
    </w:p>
    <w:p>
      <w:pPr>
        <w:ind w:left="541"/>
        <w:spacing w:before="119" w:line="201" w:lineRule="auto"/>
        <w:tabs>
          <w:tab w:val="left" w:pos="3770"/>
        </w:tabs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u w:val="single" w:color="auto"/>
        </w:rPr>
        <w:tab/>
      </w:r>
      <w:r>
        <w:rPr>
          <w:rFonts w:ascii="Times New Roman" w:hAnsi="Times New Roman" w:eastAsia="Times New Roman" w:cs="Times New Roman"/>
          <w:sz w:val="20"/>
          <w:szCs w:val="20"/>
          <w:u w:val="single" w:color="auto"/>
          <w:spacing w:val="1"/>
        </w:rPr>
        <w:t>(%)                                                                                                                                                                                      </w:t>
      </w:r>
    </w:p>
    <w:p>
      <w:pPr>
        <w:spacing w:before="19"/>
        <w:rPr/>
      </w:pPr>
      <w:r/>
    </w:p>
    <w:tbl>
      <w:tblPr>
        <w:tblStyle w:val="TableNormal"/>
        <w:tblW w:w="12830" w:type="dxa"/>
        <w:tblInd w:w="541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034"/>
        <w:gridCol w:w="754"/>
        <w:gridCol w:w="1248"/>
        <w:gridCol w:w="1295"/>
        <w:gridCol w:w="1106"/>
        <w:gridCol w:w="1200"/>
        <w:gridCol w:w="1200"/>
        <w:gridCol w:w="1200"/>
        <w:gridCol w:w="2793"/>
      </w:tblGrid>
      <w:tr>
        <w:trPr>
          <w:trHeight w:val="346" w:hRule="atLeast"/>
        </w:trPr>
        <w:tc>
          <w:tcPr>
            <w:tcW w:w="2034" w:type="dxa"/>
            <w:vAlign w:val="top"/>
          </w:tcPr>
          <w:p>
            <w:pPr>
              <w:ind w:left="116"/>
              <w:spacing w:line="223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6"/>
              </w:rPr>
              <w:t>本标准</w:t>
            </w:r>
          </w:p>
        </w:tc>
        <w:tc>
          <w:tcPr>
            <w:tcW w:w="754" w:type="dxa"/>
            <w:vAlign w:val="top"/>
          </w:tcPr>
          <w:p>
            <w:pPr>
              <w:ind w:left="126"/>
              <w:spacing w:before="40" w:line="186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-5"/>
              </w:rPr>
              <w:t>16</w:t>
            </w:r>
          </w:p>
        </w:tc>
        <w:tc>
          <w:tcPr>
            <w:tcW w:w="1248" w:type="dxa"/>
            <w:vAlign w:val="top"/>
          </w:tcPr>
          <w:p>
            <w:pPr>
              <w:ind w:left="450"/>
              <w:spacing w:before="40" w:line="186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-3"/>
              </w:rPr>
              <w:t>1.2</w:t>
            </w:r>
          </w:p>
        </w:tc>
        <w:tc>
          <w:tcPr>
            <w:tcW w:w="1295" w:type="dxa"/>
            <w:vAlign w:val="top"/>
          </w:tcPr>
          <w:p>
            <w:pPr>
              <w:ind w:left="560"/>
              <w:spacing w:before="40" w:line="186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1"/>
              </w:rPr>
              <w:t>50.0</w:t>
            </w:r>
          </w:p>
        </w:tc>
        <w:tc>
          <w:tcPr>
            <w:tcW w:w="1106" w:type="dxa"/>
            <w:vAlign w:val="top"/>
          </w:tcPr>
          <w:p>
            <w:pPr>
              <w:ind w:left="391"/>
              <w:spacing w:before="40" w:line="186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-3"/>
              </w:rPr>
              <w:t>1.0</w:t>
            </w:r>
          </w:p>
        </w:tc>
        <w:tc>
          <w:tcPr>
            <w:tcW w:w="1200" w:type="dxa"/>
            <w:vAlign w:val="top"/>
          </w:tcPr>
          <w:p>
            <w:pPr>
              <w:ind w:left="475"/>
              <w:spacing w:before="40" w:line="186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1"/>
              </w:rPr>
              <w:t>0.1</w:t>
            </w:r>
          </w:p>
        </w:tc>
        <w:tc>
          <w:tcPr>
            <w:tcW w:w="1200" w:type="dxa"/>
            <w:vAlign w:val="top"/>
          </w:tcPr>
          <w:p>
            <w:pPr>
              <w:ind w:left="475"/>
              <w:spacing w:before="40" w:line="186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1"/>
              </w:rPr>
              <w:t>0.5</w:t>
            </w:r>
          </w:p>
        </w:tc>
        <w:tc>
          <w:tcPr>
            <w:tcW w:w="1200" w:type="dxa"/>
            <w:vAlign w:val="top"/>
          </w:tcPr>
          <w:p>
            <w:pPr>
              <w:ind w:left="475"/>
              <w:spacing w:before="40" w:line="186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1"/>
              </w:rPr>
              <w:t>0.1</w:t>
            </w:r>
          </w:p>
        </w:tc>
        <w:tc>
          <w:tcPr>
            <w:tcW w:w="2793" w:type="dxa"/>
            <w:vAlign w:val="top"/>
          </w:tcPr>
          <w:p>
            <w:pPr>
              <w:ind w:left="476"/>
              <w:spacing w:line="221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GB</w:t>
            </w:r>
            <w:r>
              <w:rPr>
                <w:rFonts w:ascii="Calibri" w:hAnsi="Calibri" w:eastAsia="Calibri" w:cs="Calibri"/>
                <w:sz w:val="20"/>
                <w:szCs w:val="20"/>
                <w:spacing w:val="16"/>
                <w:w w:val="101"/>
              </w:rPr>
              <w:t xml:space="preserve"> </w:t>
            </w:r>
            <w:r>
              <w:rPr>
                <w:rFonts w:ascii="Calibri" w:hAnsi="Calibri" w:eastAsia="Calibri" w:cs="Calibri"/>
                <w:sz w:val="20"/>
                <w:szCs w:val="20"/>
                <w:spacing w:val="5"/>
              </w:rPr>
              <w:t>2763</w:t>
            </w:r>
            <w:r>
              <w:rPr>
                <w:rFonts w:ascii="Calibri" w:hAnsi="Calibri" w:eastAsia="Calibri" w:cs="Calibri"/>
                <w:sz w:val="20"/>
                <w:szCs w:val="20"/>
                <w:spacing w:val="23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5"/>
              </w:rPr>
              <w:t>和农业农村部</w:t>
            </w:r>
          </w:p>
        </w:tc>
      </w:tr>
      <w:tr>
        <w:trPr>
          <w:trHeight w:val="726" w:hRule="atLeast"/>
        </w:trPr>
        <w:tc>
          <w:tcPr>
            <w:tcW w:w="2034" w:type="dxa"/>
            <w:vAlign w:val="top"/>
          </w:tcPr>
          <w:p>
            <w:pPr>
              <w:ind w:left="119" w:right="668"/>
              <w:spacing w:before="139" w:line="266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3"/>
              </w:rPr>
              <w:t>2023</w:t>
            </w:r>
            <w:r>
              <w:rPr>
                <w:rFonts w:ascii="Calibri" w:hAnsi="Calibri" w:eastAsia="Calibri" w:cs="Calibri"/>
                <w:sz w:val="20"/>
                <w:szCs w:val="20"/>
                <w:spacing w:val="22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3"/>
              </w:rPr>
              <w:t>年九种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7"/>
              </w:rPr>
              <w:t>食药物质公告</w:t>
            </w:r>
          </w:p>
        </w:tc>
        <w:tc>
          <w:tcPr>
            <w:tcW w:w="754" w:type="dxa"/>
            <w:vAlign w:val="top"/>
          </w:tcPr>
          <w:p>
            <w:pPr>
              <w:ind w:left="109"/>
              <w:spacing w:before="256" w:line="280" w:lineRule="exact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3"/>
                <w:position w:val="3"/>
              </w:rPr>
              <w:t>/</w:t>
            </w:r>
          </w:p>
        </w:tc>
        <w:tc>
          <w:tcPr>
            <w:tcW w:w="1248" w:type="dxa"/>
            <w:vAlign w:val="top"/>
          </w:tcPr>
          <w:p>
            <w:pPr>
              <w:ind w:left="432"/>
              <w:spacing w:before="256" w:line="280" w:lineRule="exact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3"/>
                <w:position w:val="3"/>
              </w:rPr>
              <w:t>/</w:t>
            </w:r>
          </w:p>
        </w:tc>
        <w:tc>
          <w:tcPr>
            <w:tcW w:w="1295" w:type="dxa"/>
            <w:vAlign w:val="top"/>
          </w:tcPr>
          <w:p>
            <w:pPr>
              <w:ind w:left="550"/>
              <w:spacing w:before="256" w:line="280" w:lineRule="exact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3"/>
                <w:position w:val="3"/>
              </w:rPr>
              <w:t>/</w:t>
            </w:r>
          </w:p>
        </w:tc>
        <w:tc>
          <w:tcPr>
            <w:tcW w:w="1106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391"/>
              <w:spacing w:before="61" w:line="186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-3"/>
              </w:rPr>
              <w:t>1.0</w:t>
            </w:r>
          </w:p>
        </w:tc>
        <w:tc>
          <w:tcPr>
            <w:tcW w:w="120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475"/>
              <w:spacing w:before="61" w:line="186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1"/>
              </w:rPr>
              <w:t>0.1</w:t>
            </w:r>
          </w:p>
        </w:tc>
        <w:tc>
          <w:tcPr>
            <w:tcW w:w="120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475"/>
              <w:spacing w:before="61" w:line="186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1"/>
              </w:rPr>
              <w:t>0.5</w:t>
            </w:r>
          </w:p>
        </w:tc>
        <w:tc>
          <w:tcPr>
            <w:tcW w:w="120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475"/>
              <w:spacing w:before="61" w:line="186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1"/>
              </w:rPr>
              <w:t>0.1</w:t>
            </w:r>
          </w:p>
        </w:tc>
        <w:tc>
          <w:tcPr>
            <w:tcW w:w="2793" w:type="dxa"/>
            <w:vAlign w:val="top"/>
          </w:tcPr>
          <w:p>
            <w:pPr>
              <w:ind w:left="483" w:right="109" w:hanging="3"/>
              <w:spacing w:before="139" w:line="266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20"/>
              </w:rPr>
              <w:t>应符合农业农村部的相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3"/>
              </w:rPr>
              <w:t>关规定</w:t>
            </w:r>
          </w:p>
        </w:tc>
      </w:tr>
      <w:tr>
        <w:trPr>
          <w:trHeight w:val="428" w:hRule="atLeast"/>
        </w:trPr>
        <w:tc>
          <w:tcPr>
            <w:tcW w:w="2034" w:type="dxa"/>
            <w:vAlign w:val="top"/>
          </w:tcPr>
          <w:p>
            <w:pPr>
              <w:ind w:left="140"/>
              <w:spacing w:before="108" w:line="222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1"/>
              </w:rPr>
              <w:t>中国药典</w:t>
            </w:r>
          </w:p>
        </w:tc>
        <w:tc>
          <w:tcPr>
            <w:tcW w:w="754" w:type="dxa"/>
            <w:vAlign w:val="top"/>
          </w:tcPr>
          <w:p>
            <w:pPr>
              <w:ind w:left="126"/>
              <w:spacing w:before="149" w:line="186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-5"/>
              </w:rPr>
              <w:t>16</w:t>
            </w:r>
          </w:p>
        </w:tc>
        <w:tc>
          <w:tcPr>
            <w:tcW w:w="1248" w:type="dxa"/>
            <w:vAlign w:val="top"/>
          </w:tcPr>
          <w:p>
            <w:pPr>
              <w:ind w:left="450"/>
              <w:spacing w:before="149" w:line="186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-3"/>
              </w:rPr>
              <w:t>1.2</w:t>
            </w:r>
          </w:p>
        </w:tc>
        <w:tc>
          <w:tcPr>
            <w:tcW w:w="1295" w:type="dxa"/>
            <w:vAlign w:val="top"/>
          </w:tcPr>
          <w:p>
            <w:pPr>
              <w:ind w:left="560"/>
              <w:spacing w:before="149" w:line="186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1"/>
              </w:rPr>
              <w:t>50.0</w:t>
            </w:r>
          </w:p>
        </w:tc>
        <w:tc>
          <w:tcPr>
            <w:tcW w:w="1106" w:type="dxa"/>
            <w:vAlign w:val="top"/>
          </w:tcPr>
          <w:p>
            <w:pPr>
              <w:ind w:left="373"/>
              <w:spacing w:before="70" w:line="280" w:lineRule="exact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3"/>
                <w:position w:val="3"/>
              </w:rPr>
              <w:t>/</w:t>
            </w:r>
          </w:p>
        </w:tc>
        <w:tc>
          <w:tcPr>
            <w:tcW w:w="1200" w:type="dxa"/>
            <w:vAlign w:val="top"/>
          </w:tcPr>
          <w:p>
            <w:pPr>
              <w:ind w:left="467"/>
              <w:spacing w:before="70" w:line="280" w:lineRule="exact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3"/>
                <w:position w:val="3"/>
              </w:rPr>
              <w:t>/</w:t>
            </w:r>
          </w:p>
        </w:tc>
        <w:tc>
          <w:tcPr>
            <w:tcW w:w="1200" w:type="dxa"/>
            <w:vAlign w:val="top"/>
          </w:tcPr>
          <w:p>
            <w:pPr>
              <w:ind w:left="467"/>
              <w:spacing w:before="70" w:line="280" w:lineRule="exact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3"/>
                <w:position w:val="3"/>
              </w:rPr>
              <w:t>/</w:t>
            </w:r>
          </w:p>
        </w:tc>
        <w:tc>
          <w:tcPr>
            <w:tcW w:w="1200" w:type="dxa"/>
            <w:vAlign w:val="top"/>
          </w:tcPr>
          <w:p>
            <w:pPr>
              <w:ind w:left="467"/>
              <w:spacing w:before="70" w:line="280" w:lineRule="exact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3"/>
                <w:position w:val="3"/>
              </w:rPr>
              <w:t>/</w:t>
            </w:r>
          </w:p>
        </w:tc>
        <w:tc>
          <w:tcPr>
            <w:tcW w:w="2793" w:type="dxa"/>
            <w:vAlign w:val="top"/>
          </w:tcPr>
          <w:p>
            <w:pPr>
              <w:ind w:left="467"/>
              <w:spacing w:before="70" w:line="280" w:lineRule="exact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3"/>
                <w:position w:val="3"/>
              </w:rPr>
              <w:t>/</w:t>
            </w:r>
          </w:p>
        </w:tc>
      </w:tr>
      <w:tr>
        <w:trPr>
          <w:trHeight w:val="697" w:hRule="atLeast"/>
        </w:trPr>
        <w:tc>
          <w:tcPr>
            <w:tcW w:w="2034" w:type="dxa"/>
            <w:vAlign w:val="top"/>
          </w:tcPr>
          <w:p>
            <w:pPr>
              <w:ind w:left="133"/>
              <w:spacing w:before="83" w:line="224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9"/>
              </w:rPr>
              <w:t>陕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2"/>
              </w:rPr>
              <w:t xml:space="preserve">     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9"/>
              </w:rPr>
              <w:t>西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1"/>
              </w:rPr>
              <w:t xml:space="preserve">     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9"/>
              </w:rPr>
              <w:t>省</w:t>
            </w:r>
          </w:p>
          <w:p>
            <w:pPr>
              <w:ind w:left="121"/>
              <w:spacing w:before="31" w:line="279" w:lineRule="exact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4"/>
                <w:position w:val="3"/>
              </w:rPr>
              <w:t>(</w:t>
            </w:r>
            <w:r>
              <w:rPr>
                <w:rFonts w:ascii="Calibri" w:hAnsi="Calibri" w:eastAsia="Calibri" w:cs="Calibri"/>
                <w:sz w:val="20"/>
                <w:szCs w:val="20"/>
                <w:position w:val="3"/>
              </w:rPr>
              <w:t>DBS</w:t>
            </w:r>
            <w:r>
              <w:rPr>
                <w:rFonts w:ascii="Calibri" w:hAnsi="Calibri" w:eastAsia="Calibri" w:cs="Calibri"/>
                <w:sz w:val="20"/>
                <w:szCs w:val="20"/>
                <w:spacing w:val="4"/>
                <w:position w:val="3"/>
              </w:rPr>
              <w:t>61/0025-2023)</w:t>
            </w:r>
          </w:p>
        </w:tc>
        <w:tc>
          <w:tcPr>
            <w:tcW w:w="754" w:type="dxa"/>
            <w:vAlign w:val="top"/>
          </w:tcPr>
          <w:p>
            <w:pPr>
              <w:ind w:left="126"/>
              <w:spacing w:before="281" w:line="185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-5"/>
              </w:rPr>
              <w:t>15</w:t>
            </w:r>
          </w:p>
        </w:tc>
        <w:tc>
          <w:tcPr>
            <w:tcW w:w="1248" w:type="dxa"/>
            <w:vAlign w:val="top"/>
          </w:tcPr>
          <w:p>
            <w:pPr>
              <w:ind w:left="450"/>
              <w:spacing w:before="280" w:line="186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-3"/>
              </w:rPr>
              <w:t>1.3</w:t>
            </w:r>
          </w:p>
        </w:tc>
        <w:tc>
          <w:tcPr>
            <w:tcW w:w="1295" w:type="dxa"/>
            <w:vAlign w:val="top"/>
          </w:tcPr>
          <w:p>
            <w:pPr>
              <w:ind w:left="550"/>
              <w:spacing w:before="201" w:line="280" w:lineRule="exact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3"/>
                <w:position w:val="3"/>
              </w:rPr>
              <w:t>/</w:t>
            </w:r>
          </w:p>
        </w:tc>
        <w:tc>
          <w:tcPr>
            <w:tcW w:w="1106" w:type="dxa"/>
            <w:vAlign w:val="top"/>
          </w:tcPr>
          <w:p>
            <w:pPr>
              <w:ind w:left="381"/>
              <w:spacing w:before="280" w:line="186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1"/>
              </w:rPr>
              <w:t>0.9</w:t>
            </w:r>
          </w:p>
        </w:tc>
        <w:tc>
          <w:tcPr>
            <w:tcW w:w="1200" w:type="dxa"/>
            <w:vAlign w:val="top"/>
          </w:tcPr>
          <w:p>
            <w:pPr>
              <w:ind w:left="467"/>
              <w:spacing w:before="201" w:line="280" w:lineRule="exact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3"/>
                <w:position w:val="3"/>
              </w:rPr>
              <w:t>/</w:t>
            </w:r>
          </w:p>
        </w:tc>
        <w:tc>
          <w:tcPr>
            <w:tcW w:w="1200" w:type="dxa"/>
            <w:vAlign w:val="top"/>
          </w:tcPr>
          <w:p>
            <w:pPr>
              <w:ind w:left="467"/>
              <w:spacing w:before="201" w:line="280" w:lineRule="exact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3"/>
                <w:position w:val="3"/>
              </w:rPr>
              <w:t>/</w:t>
            </w:r>
          </w:p>
        </w:tc>
        <w:tc>
          <w:tcPr>
            <w:tcW w:w="1200" w:type="dxa"/>
            <w:vAlign w:val="top"/>
          </w:tcPr>
          <w:p>
            <w:pPr>
              <w:ind w:left="467"/>
              <w:spacing w:before="201" w:line="280" w:lineRule="exact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3"/>
                <w:position w:val="3"/>
              </w:rPr>
              <w:t>/</w:t>
            </w:r>
          </w:p>
        </w:tc>
        <w:tc>
          <w:tcPr>
            <w:tcW w:w="2793" w:type="dxa"/>
            <w:vAlign w:val="top"/>
          </w:tcPr>
          <w:p>
            <w:pPr>
              <w:ind w:left="476"/>
              <w:spacing w:before="280" w:line="186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GB</w:t>
            </w:r>
            <w:r>
              <w:rPr>
                <w:rFonts w:ascii="Calibri" w:hAnsi="Calibri" w:eastAsia="Calibri" w:cs="Calibri"/>
                <w:sz w:val="20"/>
                <w:szCs w:val="20"/>
                <w:spacing w:val="17"/>
                <w:w w:val="101"/>
              </w:rPr>
              <w:t xml:space="preserve"> </w:t>
            </w:r>
            <w:r>
              <w:rPr>
                <w:rFonts w:ascii="Calibri" w:hAnsi="Calibri" w:eastAsia="Calibri" w:cs="Calibri"/>
                <w:sz w:val="20"/>
                <w:szCs w:val="20"/>
                <w:spacing w:val="1"/>
              </w:rPr>
              <w:t>2763</w:t>
            </w:r>
          </w:p>
        </w:tc>
      </w:tr>
      <w:tr>
        <w:trPr>
          <w:trHeight w:val="672" w:hRule="atLeast"/>
        </w:trPr>
        <w:tc>
          <w:tcPr>
            <w:tcW w:w="2034" w:type="dxa"/>
            <w:vAlign w:val="top"/>
            <w:tcBorders>
              <w:bottom w:val="single" w:color="000000" w:sz="2" w:space="0"/>
            </w:tcBorders>
          </w:tcPr>
          <w:p>
            <w:pPr>
              <w:ind w:left="127"/>
              <w:spacing w:before="69" w:line="225" w:lineRule="auto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8"/>
              </w:rPr>
              <w:t>河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2"/>
              </w:rPr>
              <w:t xml:space="preserve">     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8"/>
              </w:rPr>
              <w:t>南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2"/>
              </w:rPr>
              <w:t xml:space="preserve">     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  <w:spacing w:val="-8"/>
              </w:rPr>
              <w:t>省</w:t>
            </w:r>
          </w:p>
          <w:p>
            <w:pPr>
              <w:ind w:left="121"/>
              <w:spacing w:before="29" w:line="280" w:lineRule="exact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4"/>
                <w:position w:val="3"/>
              </w:rPr>
              <w:t>(</w:t>
            </w:r>
            <w:r>
              <w:rPr>
                <w:rFonts w:ascii="Calibri" w:hAnsi="Calibri" w:eastAsia="Calibri" w:cs="Calibri"/>
                <w:sz w:val="20"/>
                <w:szCs w:val="20"/>
                <w:position w:val="3"/>
              </w:rPr>
              <w:t>DBS</w:t>
            </w:r>
            <w:r>
              <w:rPr>
                <w:rFonts w:ascii="Calibri" w:hAnsi="Calibri" w:eastAsia="Calibri" w:cs="Calibri"/>
                <w:sz w:val="20"/>
                <w:szCs w:val="20"/>
                <w:spacing w:val="4"/>
                <w:position w:val="3"/>
              </w:rPr>
              <w:t>41/014-2023)</w:t>
            </w:r>
          </w:p>
        </w:tc>
        <w:tc>
          <w:tcPr>
            <w:tcW w:w="754" w:type="dxa"/>
            <w:vAlign w:val="top"/>
            <w:tcBorders>
              <w:bottom w:val="single" w:color="000000" w:sz="2" w:space="0"/>
            </w:tcBorders>
          </w:tcPr>
          <w:p>
            <w:pPr>
              <w:ind w:left="126"/>
              <w:spacing w:before="265" w:line="186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-5"/>
              </w:rPr>
              <w:t>16</w:t>
            </w:r>
          </w:p>
        </w:tc>
        <w:tc>
          <w:tcPr>
            <w:tcW w:w="1248" w:type="dxa"/>
            <w:vAlign w:val="top"/>
            <w:tcBorders>
              <w:bottom w:val="single" w:color="000000" w:sz="2" w:space="0"/>
            </w:tcBorders>
          </w:tcPr>
          <w:p>
            <w:pPr>
              <w:ind w:left="432"/>
              <w:spacing w:before="186" w:line="280" w:lineRule="exact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3"/>
                <w:position w:val="3"/>
              </w:rPr>
              <w:t>/</w:t>
            </w:r>
          </w:p>
        </w:tc>
        <w:tc>
          <w:tcPr>
            <w:tcW w:w="1295" w:type="dxa"/>
            <w:vAlign w:val="top"/>
            <w:tcBorders>
              <w:bottom w:val="single" w:color="000000" w:sz="2" w:space="0"/>
            </w:tcBorders>
          </w:tcPr>
          <w:p>
            <w:pPr>
              <w:ind w:left="550"/>
              <w:spacing w:before="186" w:line="280" w:lineRule="exact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3"/>
                <w:position w:val="3"/>
              </w:rPr>
              <w:t>/</w:t>
            </w:r>
          </w:p>
        </w:tc>
        <w:tc>
          <w:tcPr>
            <w:tcW w:w="1106" w:type="dxa"/>
            <w:vAlign w:val="top"/>
            <w:tcBorders>
              <w:bottom w:val="single" w:color="000000" w:sz="2" w:space="0"/>
            </w:tcBorders>
          </w:tcPr>
          <w:p>
            <w:pPr>
              <w:ind w:left="381"/>
              <w:spacing w:before="265" w:line="186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1"/>
              </w:rPr>
              <w:t>0.5</w:t>
            </w:r>
          </w:p>
        </w:tc>
        <w:tc>
          <w:tcPr>
            <w:tcW w:w="1200" w:type="dxa"/>
            <w:vAlign w:val="top"/>
            <w:tcBorders>
              <w:bottom w:val="single" w:color="000000" w:sz="2" w:space="0"/>
            </w:tcBorders>
          </w:tcPr>
          <w:p>
            <w:pPr>
              <w:ind w:left="467"/>
              <w:spacing w:before="186" w:line="280" w:lineRule="exact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3"/>
                <w:position w:val="3"/>
              </w:rPr>
              <w:t>/</w:t>
            </w:r>
          </w:p>
        </w:tc>
        <w:tc>
          <w:tcPr>
            <w:tcW w:w="1200" w:type="dxa"/>
            <w:vAlign w:val="top"/>
            <w:tcBorders>
              <w:bottom w:val="single" w:color="000000" w:sz="2" w:space="0"/>
            </w:tcBorders>
          </w:tcPr>
          <w:p>
            <w:pPr>
              <w:ind w:left="467"/>
              <w:spacing w:before="186" w:line="280" w:lineRule="exact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3"/>
                <w:position w:val="3"/>
              </w:rPr>
              <w:t>/</w:t>
            </w:r>
          </w:p>
        </w:tc>
        <w:tc>
          <w:tcPr>
            <w:tcW w:w="1200" w:type="dxa"/>
            <w:vAlign w:val="top"/>
            <w:tcBorders>
              <w:bottom w:val="single" w:color="000000" w:sz="2" w:space="0"/>
            </w:tcBorders>
          </w:tcPr>
          <w:p>
            <w:pPr>
              <w:ind w:left="467"/>
              <w:spacing w:before="186" w:line="280" w:lineRule="exact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  <w:spacing w:val="3"/>
                <w:position w:val="3"/>
              </w:rPr>
              <w:t>/</w:t>
            </w:r>
          </w:p>
        </w:tc>
        <w:tc>
          <w:tcPr>
            <w:tcW w:w="2793" w:type="dxa"/>
            <w:vAlign w:val="top"/>
            <w:tcBorders>
              <w:bottom w:val="single" w:color="000000" w:sz="2" w:space="0"/>
            </w:tcBorders>
          </w:tcPr>
          <w:p>
            <w:pPr>
              <w:ind w:left="476"/>
              <w:spacing w:before="265" w:line="186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GB</w:t>
            </w:r>
            <w:r>
              <w:rPr>
                <w:rFonts w:ascii="Calibri" w:hAnsi="Calibri" w:eastAsia="Calibri" w:cs="Calibri"/>
                <w:sz w:val="20"/>
                <w:szCs w:val="20"/>
                <w:spacing w:val="17"/>
                <w:w w:val="101"/>
              </w:rPr>
              <w:t xml:space="preserve"> </w:t>
            </w:r>
            <w:r>
              <w:rPr>
                <w:rFonts w:ascii="Calibri" w:hAnsi="Calibri" w:eastAsia="Calibri" w:cs="Calibri"/>
                <w:sz w:val="20"/>
                <w:szCs w:val="20"/>
                <w:spacing w:val="1"/>
              </w:rPr>
              <w:t>2763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71"/>
          <w:pgSz w:w="16839" w:h="11906"/>
          <w:pgMar w:top="400" w:right="2003" w:bottom="1378" w:left="1462" w:header="0" w:footer="1212" w:gutter="0"/>
        </w:sectPr>
        <w:rPr/>
      </w:pPr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299"/>
        <w:spacing w:before="100" w:line="230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24"/>
        </w:rPr>
        <w:t>附件4</w:t>
      </w:r>
    </w:p>
    <w:p>
      <w:pPr>
        <w:pStyle w:val="BodyText"/>
        <w:spacing w:line="343" w:lineRule="auto"/>
        <w:rPr/>
      </w:pPr>
      <w:r/>
    </w:p>
    <w:p>
      <w:pPr>
        <w:ind w:left="132" w:right="1451" w:firstLine="1322"/>
        <w:spacing w:before="114" w:line="358" w:lineRule="auto"/>
        <w:rPr>
          <w:rFonts w:ascii="FangSong_GB2312" w:hAnsi="FangSong_GB2312" w:eastAsia="FangSong_GB2312" w:cs="FangSong_GB2312"/>
          <w:sz w:val="28"/>
          <w:szCs w:val="28"/>
        </w:rPr>
      </w:pPr>
      <w:r>
        <w:rPr>
          <w:rFonts w:ascii="SimSun" w:hAnsi="SimSun" w:eastAsia="SimSun" w:cs="SimSun"/>
          <w:sz w:val="35"/>
          <w:szCs w:val="35"/>
          <w:b/>
          <w:bCs/>
          <w:spacing w:val="6"/>
        </w:rPr>
        <w:t>浙江省食品安全地方标准征求意见反馈表</w:t>
      </w:r>
      <w:r>
        <w:rPr>
          <w:rFonts w:ascii="SimSun" w:hAnsi="SimSun" w:eastAsia="SimSun" w:cs="SimSun"/>
          <w:sz w:val="35"/>
          <w:szCs w:val="35"/>
        </w:rPr>
        <w:t xml:space="preserve"> </w:t>
      </w:r>
      <w:r>
        <w:rPr>
          <w:rFonts w:ascii="FangSong_GB2312" w:hAnsi="FangSong_GB2312" w:eastAsia="FangSong_GB2312" w:cs="FangSong_GB2312"/>
          <w:sz w:val="28"/>
          <w:szCs w:val="28"/>
          <w:spacing w:val="-1"/>
        </w:rPr>
        <w:t>征求意见标准名称：</w:t>
      </w:r>
    </w:p>
    <w:tbl>
      <w:tblPr>
        <w:tblStyle w:val="TableNormal"/>
        <w:tblW w:w="9376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526"/>
        <w:gridCol w:w="2257"/>
        <w:gridCol w:w="953"/>
        <w:gridCol w:w="2114"/>
        <w:gridCol w:w="935"/>
        <w:gridCol w:w="1591"/>
      </w:tblGrid>
      <w:tr>
        <w:trPr>
          <w:trHeight w:val="576" w:hRule="atLeast"/>
        </w:trPr>
        <w:tc>
          <w:tcPr>
            <w:tcW w:w="1526" w:type="dxa"/>
            <w:vAlign w:val="top"/>
          </w:tcPr>
          <w:p>
            <w:pPr>
              <w:ind w:left="296"/>
              <w:spacing w:before="166" w:line="21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4"/>
              </w:rPr>
              <w:t>单位名称</w:t>
            </w:r>
          </w:p>
        </w:tc>
        <w:tc>
          <w:tcPr>
            <w:tcW w:w="7850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41" w:hRule="atLeast"/>
        </w:trPr>
        <w:tc>
          <w:tcPr>
            <w:tcW w:w="1526" w:type="dxa"/>
            <w:vAlign w:val="top"/>
          </w:tcPr>
          <w:p>
            <w:pPr>
              <w:ind w:left="297" w:right="135" w:hanging="138"/>
              <w:spacing w:before="93" w:line="239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6"/>
              </w:rPr>
              <w:t>单位联系人/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专家姓名</w:t>
            </w:r>
          </w:p>
        </w:tc>
        <w:tc>
          <w:tcPr>
            <w:tcW w:w="22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3" w:type="dxa"/>
            <w:vAlign w:val="top"/>
          </w:tcPr>
          <w:p>
            <w:pPr>
              <w:ind w:left="247"/>
              <w:spacing w:before="94" w:line="216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8"/>
              </w:rPr>
              <w:t>通信</w:t>
            </w:r>
          </w:p>
          <w:p>
            <w:pPr>
              <w:ind w:left="240"/>
              <w:spacing w:before="28" w:line="219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4"/>
              </w:rPr>
              <w:t>地址</w:t>
            </w:r>
          </w:p>
        </w:tc>
        <w:tc>
          <w:tcPr>
            <w:tcW w:w="21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ind w:left="245"/>
              <w:spacing w:before="247" w:line="21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0"/>
              </w:rPr>
              <w:t>邮编</w:t>
            </w:r>
          </w:p>
        </w:tc>
        <w:tc>
          <w:tcPr>
            <w:tcW w:w="15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41" w:hRule="atLeast"/>
        </w:trPr>
        <w:tc>
          <w:tcPr>
            <w:tcW w:w="1526" w:type="dxa"/>
            <w:vAlign w:val="top"/>
          </w:tcPr>
          <w:p>
            <w:pPr>
              <w:ind w:left="178"/>
              <w:spacing w:before="94" w:line="217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4"/>
              </w:rPr>
              <w:t>专家职称、</w:t>
            </w:r>
          </w:p>
          <w:p>
            <w:pPr>
              <w:ind w:left="541"/>
              <w:spacing w:before="29" w:line="21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0"/>
              </w:rPr>
              <w:t>职务</w:t>
            </w:r>
          </w:p>
        </w:tc>
        <w:tc>
          <w:tcPr>
            <w:tcW w:w="22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3" w:type="dxa"/>
            <w:vAlign w:val="top"/>
          </w:tcPr>
          <w:p>
            <w:pPr>
              <w:ind w:left="242"/>
              <w:spacing w:before="94" w:line="21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联系</w:t>
            </w:r>
          </w:p>
          <w:p>
            <w:pPr>
              <w:ind w:left="270"/>
              <w:spacing w:before="34" w:line="219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19"/>
              </w:rPr>
              <w:t>电话</w:t>
            </w:r>
          </w:p>
        </w:tc>
        <w:tc>
          <w:tcPr>
            <w:tcW w:w="21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ind w:left="116"/>
              <w:spacing w:before="250" w:line="242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2"/>
              </w:rPr>
              <w:t>E-mail</w:t>
            </w:r>
          </w:p>
        </w:tc>
        <w:tc>
          <w:tcPr>
            <w:tcW w:w="15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2" w:hRule="atLeast"/>
        </w:trPr>
        <w:tc>
          <w:tcPr>
            <w:tcW w:w="1526" w:type="dxa"/>
            <w:vAlign w:val="top"/>
          </w:tcPr>
          <w:p>
            <w:pPr>
              <w:ind w:left="298"/>
              <w:spacing w:before="165" w:line="21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5"/>
              </w:rPr>
              <w:t>章条编号</w:t>
            </w:r>
          </w:p>
        </w:tc>
        <w:tc>
          <w:tcPr>
            <w:tcW w:w="3210" w:type="dxa"/>
            <w:vAlign w:val="top"/>
            <w:gridSpan w:val="2"/>
          </w:tcPr>
          <w:p>
            <w:pPr>
              <w:ind w:left="1126"/>
              <w:spacing w:before="164" w:line="214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2"/>
              </w:rPr>
              <w:t>修改建议</w:t>
            </w:r>
          </w:p>
        </w:tc>
        <w:tc>
          <w:tcPr>
            <w:tcW w:w="4640" w:type="dxa"/>
            <w:vAlign w:val="top"/>
            <w:gridSpan w:val="3"/>
          </w:tcPr>
          <w:p>
            <w:pPr>
              <w:ind w:left="1840"/>
              <w:spacing w:before="164" w:line="216" w:lineRule="auto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z w:val="24"/>
                <w:szCs w:val="24"/>
                <w:spacing w:val="-2"/>
              </w:rPr>
              <w:t>修改理由</w:t>
            </w:r>
          </w:p>
        </w:tc>
      </w:tr>
      <w:tr>
        <w:trPr>
          <w:trHeight w:val="572" w:hRule="atLeast"/>
        </w:trPr>
        <w:tc>
          <w:tcPr>
            <w:tcW w:w="15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10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40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1" w:hRule="atLeast"/>
        </w:trPr>
        <w:tc>
          <w:tcPr>
            <w:tcW w:w="15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10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40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2" w:hRule="atLeast"/>
        </w:trPr>
        <w:tc>
          <w:tcPr>
            <w:tcW w:w="15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10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40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2" w:hRule="atLeast"/>
        </w:trPr>
        <w:tc>
          <w:tcPr>
            <w:tcW w:w="15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10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40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2" w:hRule="atLeast"/>
        </w:trPr>
        <w:tc>
          <w:tcPr>
            <w:tcW w:w="15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10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40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2" w:hRule="atLeast"/>
        </w:trPr>
        <w:tc>
          <w:tcPr>
            <w:tcW w:w="15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10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40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1" w:hRule="atLeast"/>
        </w:trPr>
        <w:tc>
          <w:tcPr>
            <w:tcW w:w="15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10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40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2" w:hRule="atLeast"/>
        </w:trPr>
        <w:tc>
          <w:tcPr>
            <w:tcW w:w="15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10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40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6" w:hRule="atLeast"/>
        </w:trPr>
        <w:tc>
          <w:tcPr>
            <w:tcW w:w="15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10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40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284"/>
        <w:spacing w:before="307" w:line="214" w:lineRule="auto"/>
        <w:rPr>
          <w:rFonts w:ascii="FangSong_GB2312" w:hAnsi="FangSong_GB2312" w:eastAsia="FangSong_GB2312" w:cs="FangSong_GB2312"/>
          <w:sz w:val="24"/>
          <w:szCs w:val="24"/>
        </w:rPr>
      </w:pPr>
      <w:r>
        <w:rPr>
          <w:rFonts w:ascii="FangSong_GB2312" w:hAnsi="FangSong_GB2312" w:eastAsia="FangSong_GB2312" w:cs="FangSong_GB2312"/>
          <w:sz w:val="24"/>
          <w:szCs w:val="24"/>
          <w:spacing w:val="-4"/>
        </w:rPr>
        <w:t>单位（公章</w:t>
      </w:r>
      <w:r>
        <w:rPr>
          <w:rFonts w:ascii="FangSong_GB2312" w:hAnsi="FangSong_GB2312" w:eastAsia="FangSong_GB2312" w:cs="FangSong_GB2312"/>
          <w:sz w:val="24"/>
          <w:szCs w:val="24"/>
          <w:spacing w:val="-55"/>
        </w:rPr>
        <w:t>）：</w:t>
      </w:r>
      <w:r>
        <w:rPr>
          <w:rFonts w:ascii="FangSong_GB2312" w:hAnsi="FangSong_GB2312" w:eastAsia="FangSong_GB2312" w:cs="FangSong_GB2312"/>
          <w:sz w:val="24"/>
          <w:szCs w:val="24"/>
          <w:u w:val="single" w:color="auto"/>
        </w:rPr>
        <w:t xml:space="preserve">                    </w:t>
      </w:r>
      <w:r>
        <w:rPr>
          <w:rFonts w:ascii="FangSong_GB2312" w:hAnsi="FangSong_GB2312" w:eastAsia="FangSong_GB2312" w:cs="FangSong_GB2312"/>
          <w:sz w:val="24"/>
          <w:szCs w:val="24"/>
        </w:rPr>
        <w:t xml:space="preserve">       </w:t>
      </w:r>
      <w:r>
        <w:rPr>
          <w:rFonts w:ascii="FangSong_GB2312" w:hAnsi="FangSong_GB2312" w:eastAsia="FangSong_GB2312" w:cs="FangSong_GB2312"/>
          <w:sz w:val="24"/>
          <w:szCs w:val="24"/>
          <w:u w:val="single" w:color="auto"/>
        </w:rPr>
        <w:t xml:space="preserve">        </w:t>
      </w:r>
      <w:r>
        <w:rPr>
          <w:rFonts w:ascii="FangSong_GB2312" w:hAnsi="FangSong_GB2312" w:eastAsia="FangSong_GB2312" w:cs="FangSong_GB2312"/>
          <w:sz w:val="24"/>
          <w:szCs w:val="24"/>
          <w:spacing w:val="-106"/>
        </w:rPr>
        <w:t xml:space="preserve"> </w:t>
      </w:r>
      <w:r>
        <w:rPr>
          <w:rFonts w:ascii="FangSong_GB2312" w:hAnsi="FangSong_GB2312" w:eastAsia="FangSong_GB2312" w:cs="FangSong_GB2312"/>
          <w:sz w:val="24"/>
          <w:szCs w:val="24"/>
          <w:spacing w:val="-4"/>
        </w:rPr>
        <w:t>年</w:t>
      </w:r>
      <w:r>
        <w:rPr>
          <w:rFonts w:ascii="FangSong_GB2312" w:hAnsi="FangSong_GB2312" w:eastAsia="FangSong_GB2312" w:cs="FangSong_GB2312"/>
          <w:sz w:val="24"/>
          <w:szCs w:val="24"/>
          <w:u w:val="single" w:color="auto"/>
          <w:spacing w:val="-4"/>
        </w:rPr>
        <w:t xml:space="preserve">    </w:t>
      </w:r>
      <w:r>
        <w:rPr>
          <w:rFonts w:ascii="FangSong_GB2312" w:hAnsi="FangSong_GB2312" w:eastAsia="FangSong_GB2312" w:cs="FangSong_GB2312"/>
          <w:sz w:val="24"/>
          <w:szCs w:val="24"/>
          <w:spacing w:val="-97"/>
        </w:rPr>
        <w:t xml:space="preserve"> </w:t>
      </w:r>
      <w:r>
        <w:rPr>
          <w:rFonts w:ascii="FangSong_GB2312" w:hAnsi="FangSong_GB2312" w:eastAsia="FangSong_GB2312" w:cs="FangSong_GB2312"/>
          <w:sz w:val="24"/>
          <w:szCs w:val="24"/>
          <w:spacing w:val="-4"/>
        </w:rPr>
        <w:t>月</w:t>
      </w:r>
      <w:r>
        <w:rPr>
          <w:rFonts w:ascii="FangSong_GB2312" w:hAnsi="FangSong_GB2312" w:eastAsia="FangSong_GB2312" w:cs="FangSong_GB2312"/>
          <w:sz w:val="24"/>
          <w:szCs w:val="24"/>
          <w:u w:val="single" w:color="auto"/>
          <w:spacing w:val="-4"/>
        </w:rPr>
        <w:t xml:space="preserve">    </w:t>
      </w:r>
      <w:r>
        <w:rPr>
          <w:rFonts w:ascii="FangSong_GB2312" w:hAnsi="FangSong_GB2312" w:eastAsia="FangSong_GB2312" w:cs="FangSong_GB2312"/>
          <w:sz w:val="24"/>
          <w:szCs w:val="24"/>
          <w:spacing w:val="-65"/>
        </w:rPr>
        <w:t xml:space="preserve"> </w:t>
      </w:r>
      <w:r>
        <w:rPr>
          <w:rFonts w:ascii="FangSong_GB2312" w:hAnsi="FangSong_GB2312" w:eastAsia="FangSong_GB2312" w:cs="FangSong_GB2312"/>
          <w:sz w:val="24"/>
          <w:szCs w:val="24"/>
          <w:spacing w:val="-4"/>
        </w:rPr>
        <w:t>日</w:t>
      </w:r>
    </w:p>
    <w:p>
      <w:pPr>
        <w:pStyle w:val="BodyText"/>
        <w:spacing w:line="266" w:lineRule="auto"/>
        <w:rPr/>
      </w:pPr>
      <w:r/>
    </w:p>
    <w:p>
      <w:pPr>
        <w:ind w:left="280"/>
        <w:spacing w:before="78" w:line="215" w:lineRule="auto"/>
        <w:rPr>
          <w:rFonts w:ascii="FangSong_GB2312" w:hAnsi="FangSong_GB2312" w:eastAsia="FangSong_GB2312" w:cs="FangSong_GB2312"/>
          <w:sz w:val="24"/>
          <w:szCs w:val="24"/>
        </w:rPr>
      </w:pPr>
      <w:r>
        <w:rPr>
          <w:rFonts w:ascii="FangSong_GB2312" w:hAnsi="FangSong_GB2312" w:eastAsia="FangSong_GB2312" w:cs="FangSong_GB2312"/>
          <w:sz w:val="24"/>
          <w:szCs w:val="24"/>
          <w:spacing w:val="-3"/>
        </w:rPr>
        <w:t>个人（签名</w:t>
      </w:r>
      <w:r>
        <w:rPr>
          <w:rFonts w:ascii="FangSong_GB2312" w:hAnsi="FangSong_GB2312" w:eastAsia="FangSong_GB2312" w:cs="FangSong_GB2312"/>
          <w:sz w:val="24"/>
          <w:szCs w:val="24"/>
          <w:spacing w:val="-61"/>
        </w:rPr>
        <w:t>）：</w:t>
      </w:r>
      <w:r>
        <w:rPr>
          <w:rFonts w:ascii="FangSong_GB2312" w:hAnsi="FangSong_GB2312" w:eastAsia="FangSong_GB2312" w:cs="FangSong_GB2312"/>
          <w:sz w:val="24"/>
          <w:szCs w:val="24"/>
          <w:u w:val="single" w:color="auto"/>
        </w:rPr>
        <w:t xml:space="preserve">                    </w:t>
      </w:r>
      <w:r>
        <w:rPr>
          <w:rFonts w:ascii="FangSong_GB2312" w:hAnsi="FangSong_GB2312" w:eastAsia="FangSong_GB2312" w:cs="FangSong_GB2312"/>
          <w:sz w:val="24"/>
          <w:szCs w:val="24"/>
        </w:rPr>
        <w:t xml:space="preserve">       </w:t>
      </w:r>
      <w:r>
        <w:rPr>
          <w:rFonts w:ascii="FangSong_GB2312" w:hAnsi="FangSong_GB2312" w:eastAsia="FangSong_GB2312" w:cs="FangSong_GB2312"/>
          <w:sz w:val="24"/>
          <w:szCs w:val="24"/>
          <w:u w:val="single" w:color="auto"/>
        </w:rPr>
        <w:t xml:space="preserve">        </w:t>
      </w:r>
      <w:r>
        <w:rPr>
          <w:rFonts w:ascii="FangSong_GB2312" w:hAnsi="FangSong_GB2312" w:eastAsia="FangSong_GB2312" w:cs="FangSong_GB2312"/>
          <w:sz w:val="24"/>
          <w:szCs w:val="24"/>
          <w:spacing w:val="-106"/>
        </w:rPr>
        <w:t xml:space="preserve"> </w:t>
      </w:r>
      <w:r>
        <w:rPr>
          <w:rFonts w:ascii="FangSong_GB2312" w:hAnsi="FangSong_GB2312" w:eastAsia="FangSong_GB2312" w:cs="FangSong_GB2312"/>
          <w:sz w:val="24"/>
          <w:szCs w:val="24"/>
          <w:spacing w:val="-3"/>
        </w:rPr>
        <w:t>年</w:t>
      </w:r>
      <w:r>
        <w:rPr>
          <w:rFonts w:ascii="FangSong_GB2312" w:hAnsi="FangSong_GB2312" w:eastAsia="FangSong_GB2312" w:cs="FangSong_GB2312"/>
          <w:sz w:val="24"/>
          <w:szCs w:val="24"/>
          <w:u w:val="single" w:color="auto"/>
          <w:spacing w:val="-3"/>
        </w:rPr>
        <w:t xml:space="preserve">    </w:t>
      </w:r>
      <w:r>
        <w:rPr>
          <w:rFonts w:ascii="FangSong_GB2312" w:hAnsi="FangSong_GB2312" w:eastAsia="FangSong_GB2312" w:cs="FangSong_GB2312"/>
          <w:sz w:val="24"/>
          <w:szCs w:val="24"/>
          <w:spacing w:val="-98"/>
        </w:rPr>
        <w:t xml:space="preserve"> </w:t>
      </w:r>
      <w:r>
        <w:rPr>
          <w:rFonts w:ascii="FangSong_GB2312" w:hAnsi="FangSong_GB2312" w:eastAsia="FangSong_GB2312" w:cs="FangSong_GB2312"/>
          <w:sz w:val="24"/>
          <w:szCs w:val="24"/>
          <w:spacing w:val="-3"/>
        </w:rPr>
        <w:t>月</w:t>
      </w:r>
      <w:r>
        <w:rPr>
          <w:rFonts w:ascii="FangSong_GB2312" w:hAnsi="FangSong_GB2312" w:eastAsia="FangSong_GB2312" w:cs="FangSong_GB2312"/>
          <w:sz w:val="24"/>
          <w:szCs w:val="24"/>
          <w:u w:val="single" w:color="auto"/>
          <w:spacing w:val="-3"/>
        </w:rPr>
        <w:t xml:space="preserve">    </w:t>
      </w:r>
      <w:r>
        <w:rPr>
          <w:rFonts w:ascii="FangSong_GB2312" w:hAnsi="FangSong_GB2312" w:eastAsia="FangSong_GB2312" w:cs="FangSong_GB2312"/>
          <w:sz w:val="24"/>
          <w:szCs w:val="24"/>
          <w:spacing w:val="-64"/>
        </w:rPr>
        <w:t xml:space="preserve"> </w:t>
      </w:r>
      <w:r>
        <w:rPr>
          <w:rFonts w:ascii="FangSong_GB2312" w:hAnsi="FangSong_GB2312" w:eastAsia="FangSong_GB2312" w:cs="FangSong_GB2312"/>
          <w:sz w:val="24"/>
          <w:szCs w:val="24"/>
          <w:spacing w:val="-3"/>
        </w:rPr>
        <w:t>日</w:t>
      </w:r>
    </w:p>
    <w:sectPr>
      <w:footerReference w:type="default" r:id="rId72"/>
      <w:pgSz w:w="11906" w:h="16839"/>
      <w:pgMar w:top="400" w:right="1205" w:bottom="1632" w:left="1319" w:header="0" w:footer="126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Times New Roman">
    <w:panose1 w:val="02020803070505020304"/>
    <w:charset w:val="00"/>
    <w:family w:val="auto"/>
    <w:pitch w:val="variable"/>
    <w:sig w:usb0="E0002EFF" w:usb1="C000785B" w:usb2="00000009" w:usb3="00000000" w:csb0="400001FF" w:csb1="FFFF0000"/>
  </w:font>
  <w:font w:name="FangSong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KaiT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0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6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12"/>
      <w:spacing w:line="173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7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76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8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77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9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81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10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00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1"/>
      </w:rPr>
      <w:t>11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8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12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86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13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"/>
      <w:spacing w:line="227" w:lineRule="auto"/>
      <w:jc w:val="right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27"/>
        <w:w w:val="101"/>
      </w:rPr>
      <w:t>- </w:t>
    </w:r>
    <w:r>
      <w:rPr>
        <w:rFonts w:ascii="Times New Roman" w:hAnsi="Times New Roman" w:eastAsia="Times New Roman" w:cs="Times New Roman"/>
        <w:sz w:val="18"/>
        <w:szCs w:val="18"/>
        <w:spacing w:val="27"/>
        <w:w w:val="101"/>
      </w:rPr>
      <w:t>I</w:t>
    </w:r>
    <w:r>
      <w:rPr>
        <w:rFonts w:ascii="Times New Roman" w:hAnsi="Times New Roman" w:eastAsia="Times New Roman" w:cs="Times New Roman"/>
        <w:sz w:val="18"/>
        <w:szCs w:val="18"/>
        <w:spacing w:val="11"/>
      </w:rPr>
      <w:t xml:space="preserve">  </w:t>
    </w:r>
    <w:r>
      <w:rPr>
        <w:rFonts w:ascii="SimSun" w:hAnsi="SimSun" w:eastAsia="SimSun" w:cs="SimSun"/>
        <w:sz w:val="18"/>
        <w:szCs w:val="18"/>
        <w:spacing w:val="27"/>
        <w:w w:val="101"/>
      </w:rPr>
      <w:t>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116"/>
      <w:spacing w:line="227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17"/>
      </w:rPr>
      <w:t>-</w:t>
    </w:r>
    <w:r>
      <w:rPr>
        <w:rFonts w:ascii="SimSun" w:hAnsi="SimSun" w:eastAsia="SimSun" w:cs="SimSun"/>
        <w:sz w:val="18"/>
        <w:szCs w:val="18"/>
        <w:spacing w:val="48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17"/>
      </w:rPr>
      <w:t>1  </w:t>
    </w:r>
    <w:r>
      <w:rPr>
        <w:rFonts w:ascii="SimSun" w:hAnsi="SimSun" w:eastAsia="SimSun" w:cs="SimSun"/>
        <w:sz w:val="18"/>
        <w:szCs w:val="18"/>
        <w:spacing w:val="17"/>
      </w:rPr>
      <w:t>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"/>
      <w:spacing w:line="227" w:lineRule="auto"/>
      <w:jc w:val="right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17"/>
        <w:w w:val="109"/>
      </w:rPr>
      <w:t>-</w:t>
    </w:r>
    <w:r>
      <w:rPr>
        <w:rFonts w:ascii="SimSun" w:hAnsi="SimSun" w:eastAsia="SimSun" w:cs="SimSun"/>
        <w:sz w:val="18"/>
        <w:szCs w:val="18"/>
        <w:spacing w:val="39"/>
      </w:rPr>
      <w:t xml:space="preserve"> </w:t>
    </w:r>
    <w:r>
      <w:rPr>
        <w:rFonts w:ascii="Calibri" w:hAnsi="Calibri" w:eastAsia="Calibri" w:cs="Calibri"/>
        <w:sz w:val="18"/>
        <w:szCs w:val="18"/>
        <w:spacing w:val="17"/>
        <w:w w:val="109"/>
      </w:rPr>
      <w:t>I</w:t>
    </w:r>
    <w:r>
      <w:rPr>
        <w:rFonts w:ascii="Calibri" w:hAnsi="Calibri" w:eastAsia="Calibri" w:cs="Calibri"/>
        <w:sz w:val="18"/>
        <w:szCs w:val="18"/>
        <w:spacing w:val="15"/>
        <w:w w:val="101"/>
      </w:rPr>
      <w:t xml:space="preserve">  </w:t>
    </w:r>
    <w:r>
      <w:rPr>
        <w:rFonts w:ascii="SimSun" w:hAnsi="SimSun" w:eastAsia="SimSun" w:cs="SimSun"/>
        <w:sz w:val="18"/>
        <w:szCs w:val="18"/>
        <w:spacing w:val="17"/>
        <w:w w:val="109"/>
      </w:rPr>
      <w:t>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"/>
      <w:spacing w:line="227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27"/>
      </w:rPr>
      <w:t>- </w:t>
    </w:r>
    <w:r>
      <w:rPr>
        <w:rFonts w:ascii="Times New Roman" w:hAnsi="Times New Roman" w:eastAsia="Times New Roman" w:cs="Times New Roman"/>
        <w:sz w:val="18"/>
        <w:szCs w:val="18"/>
        <w:spacing w:val="27"/>
      </w:rPr>
      <w:t>2</w:t>
    </w:r>
    <w:r>
      <w:rPr>
        <w:rFonts w:ascii="Times New Roman" w:hAnsi="Times New Roman" w:eastAsia="Times New Roman" w:cs="Times New Roman"/>
        <w:sz w:val="18"/>
        <w:szCs w:val="18"/>
        <w:spacing w:val="11"/>
        <w:w w:val="101"/>
      </w:rPr>
      <w:t xml:space="preserve">  </w:t>
    </w:r>
    <w:r>
      <w:rPr>
        <w:rFonts w:ascii="SimSun" w:hAnsi="SimSun" w:eastAsia="SimSun" w:cs="SimSun"/>
        <w:sz w:val="18"/>
        <w:szCs w:val="18"/>
        <w:spacing w:val="27"/>
      </w:rPr>
      <w:t>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43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1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6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2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0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3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4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1"/>
      <w:spacing w:line="173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5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0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6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23"/>
      <w:spacing w:line="173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7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27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8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23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9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141"/>
      <w:spacing w:line="227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14"/>
        <w:w w:val="110"/>
      </w:rPr>
      <w:t>-</w:t>
    </w:r>
    <w:r>
      <w:rPr>
        <w:rFonts w:ascii="SimSun" w:hAnsi="SimSun" w:eastAsia="SimSun" w:cs="SimSun"/>
        <w:sz w:val="18"/>
        <w:szCs w:val="18"/>
        <w:spacing w:val="38"/>
      </w:rPr>
      <w:t xml:space="preserve"> </w:t>
    </w:r>
    <w:r>
      <w:rPr>
        <w:rFonts w:ascii="Calibri" w:hAnsi="Calibri" w:eastAsia="Calibri" w:cs="Calibri"/>
        <w:sz w:val="18"/>
        <w:szCs w:val="18"/>
        <w:spacing w:val="14"/>
        <w:w w:val="110"/>
      </w:rPr>
      <w:t>1</w:t>
    </w:r>
    <w:r>
      <w:rPr>
        <w:rFonts w:ascii="Calibri" w:hAnsi="Calibri" w:eastAsia="Calibri" w:cs="Calibri"/>
        <w:sz w:val="18"/>
        <w:szCs w:val="18"/>
        <w:spacing w:val="17"/>
      </w:rPr>
      <w:t xml:space="preserve">  </w:t>
    </w:r>
    <w:r>
      <w:rPr>
        <w:rFonts w:ascii="SimSun" w:hAnsi="SimSun" w:eastAsia="SimSun" w:cs="SimSun"/>
        <w:sz w:val="18"/>
        <w:szCs w:val="18"/>
        <w:spacing w:val="14"/>
        <w:w w:val="110"/>
      </w:rPr>
      <w:t>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8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10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00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1"/>
      </w:rPr>
      <w:t>11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8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12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8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13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8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14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908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15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908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16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908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17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908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18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908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19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0"/>
      <w:spacing w:line="227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14"/>
        <w:w w:val="112"/>
      </w:rPr>
      <w:t>-</w:t>
    </w:r>
    <w:r>
      <w:rPr>
        <w:rFonts w:ascii="SimSun" w:hAnsi="SimSun" w:eastAsia="SimSun" w:cs="SimSun"/>
        <w:sz w:val="18"/>
        <w:szCs w:val="18"/>
        <w:spacing w:val="33"/>
      </w:rPr>
      <w:t xml:space="preserve"> </w:t>
    </w:r>
    <w:r>
      <w:rPr>
        <w:rFonts w:ascii="Calibri" w:hAnsi="Calibri" w:eastAsia="Calibri" w:cs="Calibri"/>
        <w:sz w:val="18"/>
        <w:szCs w:val="18"/>
        <w:spacing w:val="14"/>
        <w:w w:val="112"/>
      </w:rPr>
      <w:t>2</w:t>
    </w:r>
    <w:r>
      <w:rPr>
        <w:rFonts w:ascii="Calibri" w:hAnsi="Calibri" w:eastAsia="Calibri" w:cs="Calibri"/>
        <w:sz w:val="18"/>
        <w:szCs w:val="18"/>
        <w:spacing w:val="16"/>
        <w:w w:val="101"/>
      </w:rPr>
      <w:t xml:space="preserve">  </w:t>
    </w:r>
    <w:r>
      <w:rPr>
        <w:rFonts w:ascii="SimSun" w:hAnsi="SimSun" w:eastAsia="SimSun" w:cs="SimSun"/>
        <w:sz w:val="18"/>
        <w:szCs w:val="18"/>
        <w:spacing w:val="14"/>
        <w:w w:val="112"/>
      </w:rPr>
      <w:t>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91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2"/>
      </w:rPr>
      <w:t>20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901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2"/>
      </w:rPr>
      <w:t>21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518"/>
      <w:spacing w:line="227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17"/>
      </w:rPr>
      <w:t>-</w:t>
    </w:r>
    <w:r>
      <w:rPr>
        <w:rFonts w:ascii="SimSun" w:hAnsi="SimSun" w:eastAsia="SimSun" w:cs="SimSun"/>
        <w:sz w:val="18"/>
        <w:szCs w:val="18"/>
        <w:spacing w:val="46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17"/>
      </w:rPr>
      <w:t>1  </w:t>
    </w:r>
    <w:r>
      <w:rPr>
        <w:rFonts w:ascii="SimSun" w:hAnsi="SimSun" w:eastAsia="SimSun" w:cs="SimSun"/>
        <w:sz w:val="18"/>
        <w:szCs w:val="18"/>
        <w:spacing w:val="17"/>
      </w:rPr>
      <w:t>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07"/>
      <w:spacing w:line="227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27"/>
      </w:rPr>
      <w:t>- </w:t>
    </w:r>
    <w:r>
      <w:rPr>
        <w:rFonts w:ascii="Times New Roman" w:hAnsi="Times New Roman" w:eastAsia="Times New Roman" w:cs="Times New Roman"/>
        <w:sz w:val="18"/>
        <w:szCs w:val="18"/>
        <w:spacing w:val="27"/>
      </w:rPr>
      <w:t>2</w:t>
    </w:r>
    <w:r>
      <w:rPr>
        <w:rFonts w:ascii="Times New Roman" w:hAnsi="Times New Roman" w:eastAsia="Times New Roman" w:cs="Times New Roman"/>
        <w:sz w:val="18"/>
        <w:szCs w:val="18"/>
        <w:spacing w:val="11"/>
        <w:w w:val="101"/>
      </w:rPr>
      <w:t xml:space="preserve">  </w:t>
    </w:r>
    <w:r>
      <w:rPr>
        <w:rFonts w:ascii="SimSun" w:hAnsi="SimSun" w:eastAsia="SimSun" w:cs="SimSun"/>
        <w:sz w:val="18"/>
        <w:szCs w:val="18"/>
        <w:spacing w:val="27"/>
      </w:rPr>
      <w:t>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5"/>
      <w:spacing w:line="168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1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0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2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9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3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4"/>
      <w:spacing w:line="168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4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9"/>
      <w:spacing w:line="167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5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9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6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43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1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34"/>
      <w:spacing w:line="167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7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918"/>
      <w:spacing w:line="169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8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880"/>
      <w:spacing w:line="236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35"/>
      </w:rPr>
      <w:t>-</w:t>
    </w:r>
    <w:r>
      <w:rPr>
        <w:rFonts w:ascii="SimSun" w:hAnsi="SimSun" w:eastAsia="SimSun" w:cs="SimSun"/>
        <w:sz w:val="28"/>
        <w:szCs w:val="28"/>
        <w:spacing w:val="68"/>
      </w:rPr>
      <w:t xml:space="preserve"> </w:t>
    </w:r>
    <w:r>
      <w:rPr>
        <w:rFonts w:ascii="SimSun" w:hAnsi="SimSun" w:eastAsia="SimSun" w:cs="SimSun"/>
        <w:sz w:val="28"/>
        <w:szCs w:val="28"/>
        <w:spacing w:val="35"/>
      </w:rPr>
      <w:t>1 -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6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2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0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3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4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1"/>
      <w:spacing w:line="173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5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87"/>
      <w:spacing w:before="85" w:line="199" w:lineRule="auto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</w:rPr>
      <w:t>DBS</w:t>
    </w:r>
    <w:r>
      <w:rPr>
        <w:rFonts w:ascii="Times New Roman" w:hAnsi="Times New Roman" w:eastAsia="Times New Roman" w:cs="Times New Roman"/>
        <w:sz w:val="20"/>
        <w:szCs w:val="20"/>
        <w:spacing w:val="9"/>
      </w:rPr>
      <w:t>33/ </w:t>
    </w:r>
    <w:r>
      <w:rPr>
        <w:rFonts w:ascii="Times New Roman" w:hAnsi="Times New Roman" w:eastAsia="Times New Roman" w:cs="Times New Roman"/>
        <w:sz w:val="20"/>
        <w:szCs w:val="20"/>
      </w:rPr>
      <w:t>XXXX</w:t>
    </w:r>
    <w:r>
      <w:rPr>
        <w:rFonts w:ascii="Times New Roman" w:hAnsi="Times New Roman" w:eastAsia="Times New Roman" w:cs="Times New Roman"/>
        <w:sz w:val="20"/>
        <w:szCs w:val="20"/>
        <w:spacing w:val="9"/>
      </w:rPr>
      <w:t>—2025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561"/>
      <w:spacing w:before="85" w:line="199" w:lineRule="auto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</w:rPr>
      <w:t>DBS</w:t>
    </w:r>
    <w:r>
      <w:rPr>
        <w:rFonts w:ascii="Times New Roman" w:hAnsi="Times New Roman" w:eastAsia="Times New Roman" w:cs="Times New Roman"/>
        <w:sz w:val="20"/>
        <w:szCs w:val="20"/>
        <w:spacing w:val="9"/>
      </w:rPr>
      <w:t>33/ </w:t>
    </w:r>
    <w:r>
      <w:rPr>
        <w:rFonts w:ascii="Times New Roman" w:hAnsi="Times New Roman" w:eastAsia="Times New Roman" w:cs="Times New Roman"/>
        <w:sz w:val="20"/>
        <w:szCs w:val="20"/>
      </w:rPr>
      <w:t>XXXX</w:t>
    </w:r>
    <w:r>
      <w:rPr>
        <w:rFonts w:ascii="Times New Roman" w:hAnsi="Times New Roman" w:eastAsia="Times New Roman" w:cs="Times New Roman"/>
        <w:sz w:val="20"/>
        <w:szCs w:val="20"/>
        <w:spacing w:val="9"/>
      </w:rPr>
      <w:t>—2025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762"/>
      <w:spacing w:before="85" w:line="199" w:lineRule="auto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</w:rPr>
      <w:t>DBS</w:t>
    </w:r>
    <w:r>
      <w:rPr>
        <w:rFonts w:ascii="Times New Roman" w:hAnsi="Times New Roman" w:eastAsia="Times New Roman" w:cs="Times New Roman"/>
        <w:sz w:val="20"/>
        <w:szCs w:val="20"/>
        <w:spacing w:val="9"/>
      </w:rPr>
      <w:t>33/ </w:t>
    </w:r>
    <w:r>
      <w:rPr>
        <w:rFonts w:ascii="Times New Roman" w:hAnsi="Times New Roman" w:eastAsia="Times New Roman" w:cs="Times New Roman"/>
        <w:sz w:val="20"/>
        <w:szCs w:val="20"/>
      </w:rPr>
      <w:t>XXXX</w:t>
    </w:r>
    <w:r>
      <w:rPr>
        <w:rFonts w:ascii="Times New Roman" w:hAnsi="Times New Roman" w:eastAsia="Times New Roman" w:cs="Times New Roman"/>
        <w:sz w:val="20"/>
        <w:szCs w:val="20"/>
        <w:spacing w:val="9"/>
      </w:rPr>
      <w:t>—2025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578"/>
      <w:spacing w:before="85" w:line="199" w:lineRule="auto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</w:rPr>
      <w:t>DBS</w:t>
    </w:r>
    <w:r>
      <w:rPr>
        <w:rFonts w:ascii="Times New Roman" w:hAnsi="Times New Roman" w:eastAsia="Times New Roman" w:cs="Times New Roman"/>
        <w:sz w:val="20"/>
        <w:szCs w:val="20"/>
        <w:spacing w:val="9"/>
      </w:rPr>
      <w:t>33/ </w:t>
    </w:r>
    <w:r>
      <w:rPr>
        <w:rFonts w:ascii="Times New Roman" w:hAnsi="Times New Roman" w:eastAsia="Times New Roman" w:cs="Times New Roman"/>
        <w:sz w:val="20"/>
        <w:szCs w:val="20"/>
      </w:rPr>
      <w:t>XXXX</w:t>
    </w:r>
    <w:r>
      <w:rPr>
        <w:rFonts w:ascii="Times New Roman" w:hAnsi="Times New Roman" w:eastAsia="Times New Roman" w:cs="Times New Roman"/>
        <w:sz w:val="20"/>
        <w:szCs w:val="20"/>
        <w:spacing w:val="9"/>
      </w:rPr>
      <w:t>—2025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75"/>
      <w:spacing w:before="85" w:line="199" w:lineRule="auto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</w:rPr>
      <w:t>DBS</w:t>
    </w:r>
    <w:r>
      <w:rPr>
        <w:rFonts w:ascii="Times New Roman" w:hAnsi="Times New Roman" w:eastAsia="Times New Roman" w:cs="Times New Roman"/>
        <w:sz w:val="20"/>
        <w:szCs w:val="20"/>
        <w:spacing w:val="8"/>
      </w:rPr>
      <w:t>33/</w:t>
    </w:r>
    <w:r>
      <w:rPr>
        <w:rFonts w:ascii="Times New Roman" w:hAnsi="Times New Roman" w:eastAsia="Times New Roman" w:cs="Times New Roman"/>
        <w:sz w:val="20"/>
        <w:szCs w:val="20"/>
      </w:rPr>
      <w:t>XXXX</w:t>
    </w:r>
    <w:r>
      <w:rPr>
        <w:rFonts w:ascii="Times New Roman" w:hAnsi="Times New Roman" w:eastAsia="Times New Roman" w:cs="Times New Roman"/>
        <w:sz w:val="20"/>
        <w:szCs w:val="20"/>
        <w:spacing w:val="8"/>
      </w:rPr>
      <w:t>-2025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18"/>
      <w:spacing w:before="85" w:line="199" w:lineRule="auto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</w:rPr>
      <w:t>DBS</w:t>
    </w:r>
    <w:r>
      <w:rPr>
        <w:rFonts w:ascii="Times New Roman" w:hAnsi="Times New Roman" w:eastAsia="Times New Roman" w:cs="Times New Roman"/>
        <w:sz w:val="20"/>
        <w:szCs w:val="20"/>
        <w:spacing w:val="8"/>
      </w:rPr>
      <w:t>33/</w:t>
    </w:r>
    <w:r>
      <w:rPr>
        <w:rFonts w:ascii="Times New Roman" w:hAnsi="Times New Roman" w:eastAsia="Times New Roman" w:cs="Times New Roman"/>
        <w:sz w:val="20"/>
        <w:szCs w:val="20"/>
      </w:rPr>
      <w:t>XXXX</w:t>
    </w:r>
    <w:r>
      <w:rPr>
        <w:rFonts w:ascii="Times New Roman" w:hAnsi="Times New Roman" w:eastAsia="Times New Roman" w:cs="Times New Roman"/>
        <w:sz w:val="20"/>
        <w:szCs w:val="20"/>
        <w:spacing w:val="8"/>
      </w:rPr>
      <w:t>-2025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2.xml"/><Relationship Id="rId75" Type="http://schemas.openxmlformats.org/officeDocument/2006/relationships/fontTable" Target="fontTable.xml"/><Relationship Id="rId74" Type="http://schemas.openxmlformats.org/officeDocument/2006/relationships/styles" Target="styles.xml"/><Relationship Id="rId73" Type="http://schemas.openxmlformats.org/officeDocument/2006/relationships/settings" Target="settings.xml"/><Relationship Id="rId72" Type="http://schemas.openxmlformats.org/officeDocument/2006/relationships/footer" Target="footer52.xml"/><Relationship Id="rId71" Type="http://schemas.openxmlformats.org/officeDocument/2006/relationships/footer" Target="footer51.xml"/><Relationship Id="rId70" Type="http://schemas.openxmlformats.org/officeDocument/2006/relationships/footer" Target="footer50.xml"/><Relationship Id="rId7" Type="http://schemas.openxmlformats.org/officeDocument/2006/relationships/footer" Target="footer2.xml"/><Relationship Id="rId69" Type="http://schemas.openxmlformats.org/officeDocument/2006/relationships/footer" Target="footer49.xml"/><Relationship Id="rId68" Type="http://schemas.openxmlformats.org/officeDocument/2006/relationships/footer" Target="footer48.xml"/><Relationship Id="rId67" Type="http://schemas.openxmlformats.org/officeDocument/2006/relationships/footer" Target="footer47.xml"/><Relationship Id="rId66" Type="http://schemas.openxmlformats.org/officeDocument/2006/relationships/footer" Target="footer46.xml"/><Relationship Id="rId65" Type="http://schemas.openxmlformats.org/officeDocument/2006/relationships/footer" Target="footer45.xml"/><Relationship Id="rId64" Type="http://schemas.openxmlformats.org/officeDocument/2006/relationships/footer" Target="footer44.xml"/><Relationship Id="rId63" Type="http://schemas.openxmlformats.org/officeDocument/2006/relationships/image" Target="media/image13.jpeg"/><Relationship Id="rId62" Type="http://schemas.openxmlformats.org/officeDocument/2006/relationships/footer" Target="footer43.xml"/><Relationship Id="rId61" Type="http://schemas.openxmlformats.org/officeDocument/2006/relationships/header" Target="header7.xml"/><Relationship Id="rId60" Type="http://schemas.openxmlformats.org/officeDocument/2006/relationships/footer" Target="footer42.xml"/><Relationship Id="rId6" Type="http://schemas.openxmlformats.org/officeDocument/2006/relationships/image" Target="media/image4.png"/><Relationship Id="rId59" Type="http://schemas.openxmlformats.org/officeDocument/2006/relationships/header" Target="header6.xml"/><Relationship Id="rId58" Type="http://schemas.openxmlformats.org/officeDocument/2006/relationships/image" Target="media/image12.png"/><Relationship Id="rId57" Type="http://schemas.openxmlformats.org/officeDocument/2006/relationships/image" Target="media/image11.png"/><Relationship Id="rId56" Type="http://schemas.openxmlformats.org/officeDocument/2006/relationships/footer" Target="footer41.xml"/><Relationship Id="rId55" Type="http://schemas.openxmlformats.org/officeDocument/2006/relationships/footer" Target="footer40.xml"/><Relationship Id="rId54" Type="http://schemas.openxmlformats.org/officeDocument/2006/relationships/footer" Target="footer39.xml"/><Relationship Id="rId53" Type="http://schemas.openxmlformats.org/officeDocument/2006/relationships/footer" Target="footer38.xml"/><Relationship Id="rId52" Type="http://schemas.openxmlformats.org/officeDocument/2006/relationships/footer" Target="footer37.xml"/><Relationship Id="rId51" Type="http://schemas.openxmlformats.org/officeDocument/2006/relationships/footer" Target="footer36.xml"/><Relationship Id="rId50" Type="http://schemas.openxmlformats.org/officeDocument/2006/relationships/footer" Target="footer35.xml"/><Relationship Id="rId5" Type="http://schemas.openxmlformats.org/officeDocument/2006/relationships/image" Target="media/image3.png"/><Relationship Id="rId49" Type="http://schemas.openxmlformats.org/officeDocument/2006/relationships/footer" Target="footer34.xml"/><Relationship Id="rId48" Type="http://schemas.openxmlformats.org/officeDocument/2006/relationships/footer" Target="footer33.xml"/><Relationship Id="rId47" Type="http://schemas.openxmlformats.org/officeDocument/2006/relationships/footer" Target="footer32.xml"/><Relationship Id="rId46" Type="http://schemas.openxmlformats.org/officeDocument/2006/relationships/footer" Target="footer31.xml"/><Relationship Id="rId45" Type="http://schemas.openxmlformats.org/officeDocument/2006/relationships/footer" Target="footer30.xml"/><Relationship Id="rId44" Type="http://schemas.openxmlformats.org/officeDocument/2006/relationships/footer" Target="footer29.xml"/><Relationship Id="rId43" Type="http://schemas.openxmlformats.org/officeDocument/2006/relationships/footer" Target="footer28.xml"/><Relationship Id="rId42" Type="http://schemas.openxmlformats.org/officeDocument/2006/relationships/footer" Target="footer27.xml"/><Relationship Id="rId41" Type="http://schemas.openxmlformats.org/officeDocument/2006/relationships/image" Target="media/image10.jpeg"/><Relationship Id="rId40" Type="http://schemas.openxmlformats.org/officeDocument/2006/relationships/image" Target="media/image9.jpeg"/><Relationship Id="rId4" Type="http://schemas.openxmlformats.org/officeDocument/2006/relationships/image" Target="media/image2.jpeg"/><Relationship Id="rId39" Type="http://schemas.openxmlformats.org/officeDocument/2006/relationships/footer" Target="footer26.xml"/><Relationship Id="rId38" Type="http://schemas.openxmlformats.org/officeDocument/2006/relationships/footer" Target="footer25.xml"/><Relationship Id="rId37" Type="http://schemas.openxmlformats.org/officeDocument/2006/relationships/footer" Target="footer24.xml"/><Relationship Id="rId36" Type="http://schemas.openxmlformats.org/officeDocument/2006/relationships/footer" Target="footer23.xml"/><Relationship Id="rId35" Type="http://schemas.openxmlformats.org/officeDocument/2006/relationships/footer" Target="footer22.xml"/><Relationship Id="rId34" Type="http://schemas.openxmlformats.org/officeDocument/2006/relationships/footer" Target="footer21.xml"/><Relationship Id="rId33" Type="http://schemas.openxmlformats.org/officeDocument/2006/relationships/image" Target="media/image8.jpeg"/><Relationship Id="rId32" Type="http://schemas.openxmlformats.org/officeDocument/2006/relationships/footer" Target="footer20.xml"/><Relationship Id="rId31" Type="http://schemas.openxmlformats.org/officeDocument/2006/relationships/header" Target="header5.xml"/><Relationship Id="rId30" Type="http://schemas.openxmlformats.org/officeDocument/2006/relationships/footer" Target="footer19.xml"/><Relationship Id="rId3" Type="http://schemas.openxmlformats.org/officeDocument/2006/relationships/image" Target="media/image1.jpeg"/><Relationship Id="rId29" Type="http://schemas.openxmlformats.org/officeDocument/2006/relationships/header" Target="header4.xml"/><Relationship Id="rId28" Type="http://schemas.openxmlformats.org/officeDocument/2006/relationships/footer" Target="footer18.xml"/><Relationship Id="rId27" Type="http://schemas.openxmlformats.org/officeDocument/2006/relationships/image" Target="media/image7.png"/><Relationship Id="rId26" Type="http://schemas.openxmlformats.org/officeDocument/2006/relationships/image" Target="media/image6.png"/><Relationship Id="rId25" Type="http://schemas.openxmlformats.org/officeDocument/2006/relationships/footer" Target="footer17.xml"/><Relationship Id="rId24" Type="http://schemas.openxmlformats.org/officeDocument/2006/relationships/footer" Target="footer16.xml"/><Relationship Id="rId23" Type="http://schemas.openxmlformats.org/officeDocument/2006/relationships/footer" Target="footer15.xml"/><Relationship Id="rId22" Type="http://schemas.openxmlformats.org/officeDocument/2006/relationships/footer" Target="footer14.xml"/><Relationship Id="rId21" Type="http://schemas.openxmlformats.org/officeDocument/2006/relationships/footer" Target="footer13.xml"/><Relationship Id="rId20" Type="http://schemas.openxmlformats.org/officeDocument/2006/relationships/footer" Target="footer12.xml"/><Relationship Id="rId2" Type="http://schemas.openxmlformats.org/officeDocument/2006/relationships/footer" Target="footer1.xml"/><Relationship Id="rId19" Type="http://schemas.openxmlformats.org/officeDocument/2006/relationships/footer" Target="footer11.xml"/><Relationship Id="rId18" Type="http://schemas.openxmlformats.org/officeDocument/2006/relationships/footer" Target="footer10.xml"/><Relationship Id="rId17" Type="http://schemas.openxmlformats.org/officeDocument/2006/relationships/footer" Target="footer9.xml"/><Relationship Id="rId16" Type="http://schemas.openxmlformats.org/officeDocument/2006/relationships/footer" Target="footer8.xml"/><Relationship Id="rId15" Type="http://schemas.openxmlformats.org/officeDocument/2006/relationships/footer" Target="footer7.xml"/><Relationship Id="rId14" Type="http://schemas.openxmlformats.org/officeDocument/2006/relationships/footer" Target="footer6.xml"/><Relationship Id="rId13" Type="http://schemas.openxmlformats.org/officeDocument/2006/relationships/footer" Target="footer5.xml"/><Relationship Id="rId12" Type="http://schemas.openxmlformats.org/officeDocument/2006/relationships/image" Target="media/image5.jpeg"/><Relationship Id="rId11" Type="http://schemas.openxmlformats.org/officeDocument/2006/relationships/footer" Target="footer4.xml"/><Relationship Id="rId10" Type="http://schemas.openxmlformats.org/officeDocument/2006/relationships/header" Target="header3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2025-08-04T10:27:46</vt:filetime>
  </property>
</Properties>
</file>